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Минстроя России от 14.06.2022 N 484/пр</w:t>
              <w:br/>
              <w:t xml:space="preserve">"О внесении изменений в приказ Министерства строительства и жилищно-коммунального хозяйства Российской Федерации от 23 декабря 2019 г. N 841/пр"</w:t>
              <w:br/>
              <w:t xml:space="preserve">(Зарегистрировано в Минюсте России 04.10.2022 N 70372)</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31.10.2022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0"/>
        <w:outlineLvl w:val="0"/>
      </w:pPr>
      <w:r>
        <w:rPr>
          <w:sz w:val="20"/>
        </w:rPr>
        <w:t xml:space="preserve">Зарегистрировано в Минюсте России 4 октября 2022 г. N 70372</w:t>
      </w:r>
    </w:p>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МИНИСТЕРСТВО СТРОИТЕЛЬСТВА И ЖИЛИЩНО-КОММУНАЛЬНОГО</w:t>
      </w:r>
    </w:p>
    <w:p>
      <w:pPr>
        <w:pStyle w:val="2"/>
        <w:jc w:val="center"/>
      </w:pPr>
      <w:r>
        <w:rPr>
          <w:sz w:val="20"/>
        </w:rPr>
        <w:t xml:space="preserve">ХОЗЯЙСТВА РОССИЙСКОЙ ФЕДЕРАЦИИ</w:t>
      </w:r>
    </w:p>
    <w:p>
      <w:pPr>
        <w:pStyle w:val="2"/>
        <w:jc w:val="center"/>
      </w:pPr>
      <w:r>
        <w:rPr>
          <w:sz w:val="20"/>
        </w:rPr>
      </w:r>
    </w:p>
    <w:p>
      <w:pPr>
        <w:pStyle w:val="2"/>
        <w:jc w:val="center"/>
      </w:pPr>
      <w:r>
        <w:rPr>
          <w:sz w:val="20"/>
        </w:rPr>
        <w:t xml:space="preserve">ПРИКАЗ</w:t>
      </w:r>
    </w:p>
    <w:p>
      <w:pPr>
        <w:pStyle w:val="2"/>
        <w:jc w:val="center"/>
      </w:pPr>
      <w:r>
        <w:rPr>
          <w:sz w:val="20"/>
        </w:rPr>
        <w:t xml:space="preserve">от 14 июня 2022 г. N 484/пр</w:t>
      </w:r>
    </w:p>
    <w:p>
      <w:pPr>
        <w:pStyle w:val="2"/>
        <w:jc w:val="center"/>
      </w:pPr>
      <w:r>
        <w:rPr>
          <w:sz w:val="20"/>
        </w:rPr>
      </w:r>
    </w:p>
    <w:p>
      <w:pPr>
        <w:pStyle w:val="2"/>
        <w:jc w:val="center"/>
      </w:pPr>
      <w:r>
        <w:rPr>
          <w:sz w:val="20"/>
        </w:rPr>
        <w:t xml:space="preserve">О ВНЕСЕНИИ ИЗМЕНЕНИЙ</w:t>
      </w:r>
    </w:p>
    <w:p>
      <w:pPr>
        <w:pStyle w:val="2"/>
        <w:jc w:val="center"/>
      </w:pPr>
      <w:r>
        <w:rPr>
          <w:sz w:val="20"/>
        </w:rPr>
        <w:t xml:space="preserve">В ПРИКАЗ МИНИСТЕРСТВА СТРОИТЕЛЬСТВА И ЖИЛИЩНО-КОММУНАЛЬНОГО</w:t>
      </w:r>
    </w:p>
    <w:p>
      <w:pPr>
        <w:pStyle w:val="2"/>
        <w:jc w:val="center"/>
      </w:pPr>
      <w:r>
        <w:rPr>
          <w:sz w:val="20"/>
        </w:rPr>
        <w:t xml:space="preserve">ХОЗЯЙСТВА РОССИЙСКОЙ ФЕДЕРАЦИИ</w:t>
      </w:r>
    </w:p>
    <w:p>
      <w:pPr>
        <w:pStyle w:val="2"/>
        <w:jc w:val="center"/>
      </w:pPr>
      <w:r>
        <w:rPr>
          <w:sz w:val="20"/>
        </w:rPr>
        <w:t xml:space="preserve">ОТ 23 ДЕКАБРЯ 2019 Г. N 841/ПР</w:t>
      </w:r>
    </w:p>
    <w:p>
      <w:pPr>
        <w:pStyle w:val="0"/>
        <w:jc w:val="both"/>
      </w:pPr>
      <w:r>
        <w:rPr>
          <w:sz w:val="20"/>
        </w:rPr>
      </w:r>
    </w:p>
    <w:p>
      <w:pPr>
        <w:pStyle w:val="0"/>
        <w:ind w:firstLine="540"/>
        <w:jc w:val="both"/>
      </w:pPr>
      <w:r>
        <w:rPr>
          <w:sz w:val="20"/>
        </w:rPr>
        <w:t xml:space="preserve">В соответствии с </w:t>
      </w:r>
      <w:hyperlink w:history="0" r:id="rId7" w:tooltip="Федеральный закон от 05.04.2013 N 44-ФЗ (ред. от 14.07.2022)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частью 7 статьи 110.2</w:t>
        </w:r>
      </w:hyperlink>
      <w:r>
        <w:rPr>
          <w:sz w:val="20"/>
        </w:rP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2019, N 26, ст. 3317), </w:t>
      </w:r>
      <w:hyperlink w:history="0" r:id="rId8" w:tooltip="Постановление Правительства РФ от 18.11.2013 N 1038 (ред. от 13.10.2022) &quot;О Министерстве строительства и жилищно-коммунального хозяйства Российской Федерации&quot; (вместе с &quot;Положением о Министерстве строительства и жилищно-коммунального хозяйства Российской Федерации&quot;) {КонсультантПлюс}">
        <w:r>
          <w:rPr>
            <w:sz w:val="20"/>
            <w:color w:val="0000ff"/>
          </w:rPr>
          <w:t xml:space="preserve">подпунктом 5.2.101.32 пункта 5</w:t>
        </w:r>
      </w:hyperlink>
      <w:r>
        <w:rPr>
          <w:sz w:val="20"/>
        </w:rPr>
        <w:t xml:space="preserve"> Положения о Министерстве строительства и жилищно-коммунального хозяйства Российской Федерации, утвержденного постановлением Правительства Российской Федерации от 18 ноября 2013 г. N 1038 (Собрание законодательства Российской Федерации, 2013, N 47, ст. 6117; 2019, N 40, ст. 5560), приказываю:</w:t>
      </w:r>
    </w:p>
    <w:p>
      <w:pPr>
        <w:pStyle w:val="0"/>
        <w:spacing w:before="200" w:line-rule="auto"/>
        <w:ind w:firstLine="540"/>
        <w:jc w:val="both"/>
      </w:pPr>
      <w:r>
        <w:rPr>
          <w:sz w:val="20"/>
        </w:rPr>
        <w:t xml:space="preserve">внести изменения в </w:t>
      </w:r>
      <w:hyperlink w:history="0" r:id="rId9" w:tooltip="Приказ Минстроя России от 23.12.2019 N 841/пр (ред. от 25.02.2022) &quot;Об утверждении Порядка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в сфере градостроительной деятельности (за исключением территориального планирования) и Методики составления сметы контракта, предметом которого являются строительство, реконструкция объектов капитального строит ------------ Недействующая редакция {КонсультантПлюс}">
        <w:r>
          <w:rPr>
            <w:sz w:val="20"/>
            <w:color w:val="0000ff"/>
          </w:rPr>
          <w:t xml:space="preserve">приказ</w:t>
        </w:r>
      </w:hyperlink>
      <w:r>
        <w:rPr>
          <w:sz w:val="20"/>
        </w:rPr>
        <w:t xml:space="preserve"> Министерства строительства и жилищно-коммунального хозяйства Российской Федерации от 23 декабря 2019 г. N 841/пр "Об утверждении Порядка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в сфере градостроительной деятельности (за исключением территориального планирования) и Методики составления сметы контракта, предметом которого являются строительство, реконструкция объектов капитального строительства" (зарегистрирован Министерством юстиции Российской Федерации 3 февраля 2020 г., регистрационный N 57401), с изменениями, внесенными приказами Министерства строительства и жилищно-коммунального хозяйства Российской Федерации от 21 июля 2021 г. N 500/пр (зарегистрирован Министерством юстиции Российской Федерации 13 августа 2021 г., регистрационный N 64642), от 7 октября 2021 г. N 728/пр (зарегистрирован Министерством юстиции Российской Федерации 2 декабря 2021 г., регистрационный N 66180) и от 25 февраля 2022 г. N 124/пр (зарегистрирован Министерством юстиции Российской Федерации 27 апреля 2022 г., регистрационный N 68345), согласно </w:t>
      </w:r>
      <w:hyperlink w:history="0" w:anchor="P31" w:tooltip="ИЗМЕНЕНИЯ,">
        <w:r>
          <w:rPr>
            <w:sz w:val="20"/>
            <w:color w:val="0000ff"/>
          </w:rPr>
          <w:t xml:space="preserve">приложению</w:t>
        </w:r>
      </w:hyperlink>
      <w:r>
        <w:rPr>
          <w:sz w:val="20"/>
        </w:rPr>
        <w:t xml:space="preserve"> к настоящему приказу.</w:t>
      </w:r>
    </w:p>
    <w:p>
      <w:pPr>
        <w:pStyle w:val="0"/>
        <w:jc w:val="both"/>
      </w:pPr>
      <w:r>
        <w:rPr>
          <w:sz w:val="20"/>
        </w:rPr>
      </w:r>
    </w:p>
    <w:p>
      <w:pPr>
        <w:pStyle w:val="0"/>
        <w:jc w:val="right"/>
      </w:pPr>
      <w:r>
        <w:rPr>
          <w:sz w:val="20"/>
        </w:rPr>
        <w:t xml:space="preserve">Министр</w:t>
      </w:r>
    </w:p>
    <w:p>
      <w:pPr>
        <w:pStyle w:val="0"/>
        <w:jc w:val="right"/>
      </w:pPr>
      <w:r>
        <w:rPr>
          <w:sz w:val="20"/>
        </w:rPr>
        <w:t xml:space="preserve">И.Э.ФАЙЗУЛЛИН</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right"/>
      </w:pPr>
      <w:r>
        <w:rPr>
          <w:sz w:val="20"/>
        </w:rPr>
        <w:t xml:space="preserve">к приказу Министерства строительства</w:t>
      </w:r>
    </w:p>
    <w:p>
      <w:pPr>
        <w:pStyle w:val="0"/>
        <w:jc w:val="right"/>
      </w:pPr>
      <w:r>
        <w:rPr>
          <w:sz w:val="20"/>
        </w:rPr>
        <w:t xml:space="preserve">и жилищно-коммунального хозяйства</w:t>
      </w:r>
    </w:p>
    <w:p>
      <w:pPr>
        <w:pStyle w:val="0"/>
        <w:jc w:val="right"/>
      </w:pPr>
      <w:r>
        <w:rPr>
          <w:sz w:val="20"/>
        </w:rPr>
        <w:t xml:space="preserve">Российской Федерации</w:t>
      </w:r>
    </w:p>
    <w:p>
      <w:pPr>
        <w:pStyle w:val="0"/>
        <w:jc w:val="right"/>
      </w:pPr>
      <w:r>
        <w:rPr>
          <w:sz w:val="20"/>
        </w:rPr>
        <w:t xml:space="preserve">от 14 июня 2022 г. N 484/пр</w:t>
      </w:r>
    </w:p>
    <w:p>
      <w:pPr>
        <w:pStyle w:val="0"/>
        <w:jc w:val="both"/>
      </w:pPr>
      <w:r>
        <w:rPr>
          <w:sz w:val="20"/>
        </w:rPr>
      </w:r>
    </w:p>
    <w:bookmarkStart w:id="31" w:name="P31"/>
    <w:bookmarkEnd w:id="31"/>
    <w:p>
      <w:pPr>
        <w:pStyle w:val="2"/>
        <w:jc w:val="center"/>
      </w:pPr>
      <w:r>
        <w:rPr>
          <w:sz w:val="20"/>
        </w:rPr>
        <w:t xml:space="preserve">ИЗМЕНЕНИЯ,</w:t>
      </w:r>
    </w:p>
    <w:p>
      <w:pPr>
        <w:pStyle w:val="2"/>
        <w:jc w:val="center"/>
      </w:pPr>
      <w:r>
        <w:rPr>
          <w:sz w:val="20"/>
        </w:rPr>
        <w:t xml:space="preserve">КОТОРЫЕ ВНОСЯТСЯ В ПРИКАЗ МИНИСТЕРСТВА СТРОИТЕЛЬСТВА</w:t>
      </w:r>
    </w:p>
    <w:p>
      <w:pPr>
        <w:pStyle w:val="2"/>
        <w:jc w:val="center"/>
      </w:pPr>
      <w:r>
        <w:rPr>
          <w:sz w:val="20"/>
        </w:rPr>
        <w:t xml:space="preserve">И ЖИЛИЩНО-КОММУНАЛЬНОГО ХОЗЯЙСТВА РОССИЙСКОЙ ФЕДЕРАЦИИ</w:t>
      </w:r>
    </w:p>
    <w:p>
      <w:pPr>
        <w:pStyle w:val="2"/>
        <w:jc w:val="center"/>
      </w:pPr>
      <w:r>
        <w:rPr>
          <w:sz w:val="20"/>
        </w:rPr>
        <w:t xml:space="preserve">ОТ 23 ДЕКАБРЯ 2019 Г. N 841/ПР</w:t>
      </w:r>
    </w:p>
    <w:p>
      <w:pPr>
        <w:pStyle w:val="0"/>
        <w:jc w:val="both"/>
      </w:pPr>
      <w:r>
        <w:rPr>
          <w:sz w:val="20"/>
        </w:rPr>
      </w:r>
    </w:p>
    <w:p>
      <w:pPr>
        <w:pStyle w:val="0"/>
        <w:ind w:firstLine="540"/>
        <w:jc w:val="both"/>
      </w:pPr>
      <w:r>
        <w:rPr>
          <w:sz w:val="20"/>
        </w:rPr>
        <w:t xml:space="preserve">1. </w:t>
      </w:r>
      <w:hyperlink w:history="0" r:id="rId10" w:tooltip="Приказ Минстроя России от 23.12.2019 N 841/пр (ред. от 25.02.2022) &quot;Об утверждении Порядка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в сфере градостроительной деятельности (за исключением территориального планирования) и Методики составления сметы контракта, предметом которого являются строительство, реконструкция объектов капитального строит ------------ Недействующая редакция {КонсультантПлюс}">
        <w:r>
          <w:rPr>
            <w:sz w:val="20"/>
            <w:color w:val="0000ff"/>
          </w:rPr>
          <w:t xml:space="preserve">Пункт 3</w:t>
        </w:r>
      </w:hyperlink>
      <w:r>
        <w:rPr>
          <w:sz w:val="20"/>
        </w:rPr>
        <w:t xml:space="preserve"> приказа Министерства строительства и жилищно-коммунального хозяйства Российской Федерации от 23 декабря 2019 г. N 841/пр "Об утверждении Порядка определения начальной (максимальной) цены контракта, заключаемого с единственным поставщиком (подрядчиком, исполнителем), начальной единицы товара, работы, услуги при осуществлении закупок в сфере градостроительной деятельности (за исключением территориального планирования) и Методики составления сметы контракта, предметом которого являются строительство, реконструкция объектов капитального строительства" (зарегистрирован Министерством юстиции Российской Федерации 3 февраля 2020 г., регистрационный N 57401), с изменениями, внесенными приказами Министерства строительства и жилищно-коммунального хозяйства Российской Федерации от 21 июля 2021 г. N 500/пр (зарегистрирован Министерством юстиции Российской Федерации 13 августа 2021 г., регистрационный N 64642), от 7 октября 2021 г. N 728/пр (зарегистрирован Министерством юстиции Российской Федерации 2 декабря 2021 г., регистрационный N 66180) и от 25 февраля 2022 г. N 124/пр (зарегистрирован Министерством юстиции Российской Федерации 27 апреля 2022 г., регистрационный N 68345) (далее - приказ N 841/пр), дополнить словами "с соблюдением требований </w:t>
      </w:r>
      <w:hyperlink w:history="0" r:id="rId11" w:tooltip="Федеральный закон от 05.04.2013 N 44-ФЗ (ред. от 14.07.2022)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статьи 95</w:t>
        </w:r>
      </w:hyperlink>
      <w:r>
        <w:rPr>
          <w:sz w:val="20"/>
        </w:rP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2022, N 29, ст. 5239).</w:t>
      </w:r>
    </w:p>
    <w:p>
      <w:pPr>
        <w:pStyle w:val="0"/>
        <w:spacing w:before="200" w:line-rule="auto"/>
        <w:ind w:firstLine="540"/>
        <w:jc w:val="both"/>
      </w:pPr>
      <w:r>
        <w:rPr>
          <w:sz w:val="20"/>
        </w:rPr>
        <w:t xml:space="preserve">2. В </w:t>
      </w:r>
      <w:hyperlink w:history="0" r:id="rId12" w:tooltip="Приказ Минстроя России от 23.12.2019 N 841/пр (ред. от 25.02.2022) &quot;Об утверждении Порядка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в сфере градостроительной деятельности (за исключением территориального планирования) и Методики составления сметы контракта, предметом которого являются строительство, реконструкция объектов капитального строит ------------ Недействующая редакция {КонсультантПлюс}">
        <w:r>
          <w:rPr>
            <w:sz w:val="20"/>
            <w:color w:val="0000ff"/>
          </w:rPr>
          <w:t xml:space="preserve">Порядке</w:t>
        </w:r>
      </w:hyperlink>
      <w:r>
        <w:rPr>
          <w:sz w:val="20"/>
        </w:rPr>
        <w:t xml:space="preserve">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в сфере градостроительной деятельности (за исключением территориального планирования), утвержденном приказом N 841/пр:</w:t>
      </w:r>
    </w:p>
    <w:p>
      <w:pPr>
        <w:pStyle w:val="0"/>
        <w:spacing w:before="200" w:line-rule="auto"/>
        <w:ind w:firstLine="540"/>
        <w:jc w:val="both"/>
      </w:pPr>
      <w:r>
        <w:rPr>
          <w:sz w:val="20"/>
        </w:rPr>
        <w:t xml:space="preserve">2.1. В </w:t>
      </w:r>
      <w:hyperlink w:history="0" r:id="rId13" w:tooltip="Приказ Минстроя России от 23.12.2019 N 841/пр (ред. от 25.02.2022) &quot;Об утверждении Порядка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в сфере градостроительной деятельности (за исключением территориального планирования) и Методики составления сметы контракта, предметом которого являются строительство, реконструкция объектов капитального строит ------------ Недействующая редакция {КонсультантПлюс}">
        <w:r>
          <w:rPr>
            <w:sz w:val="20"/>
            <w:color w:val="0000ff"/>
          </w:rPr>
          <w:t xml:space="preserve">пункте 1</w:t>
        </w:r>
      </w:hyperlink>
      <w:r>
        <w:rPr>
          <w:sz w:val="20"/>
        </w:rPr>
        <w:t xml:space="preserve">:</w:t>
      </w:r>
    </w:p>
    <w:p>
      <w:pPr>
        <w:pStyle w:val="0"/>
        <w:spacing w:before="200" w:line-rule="auto"/>
        <w:ind w:firstLine="540"/>
        <w:jc w:val="both"/>
      </w:pPr>
      <w:hyperlink w:history="0" r:id="rId14" w:tooltip="Приказ Минстроя России от 23.12.2019 N 841/пр (ред. от 25.02.2022) &quot;Об утверждении Порядка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в сфере градостроительной деятельности (за исключением территориального планирования) и Методики составления сметы контракта, предметом которого являются строительство, реконструкция объектов капитального строит ------------ Недействующая редакция {КонсультантПлюс}">
        <w:r>
          <w:rPr>
            <w:sz w:val="20"/>
            <w:color w:val="0000ff"/>
          </w:rPr>
          <w:t xml:space="preserve">абзац первый</w:t>
        </w:r>
      </w:hyperlink>
      <w:r>
        <w:rPr>
          <w:sz w:val="20"/>
        </w:rPr>
        <w:t xml:space="preserve"> изложить в следующей редакции:</w:t>
      </w:r>
    </w:p>
    <w:p>
      <w:pPr>
        <w:pStyle w:val="0"/>
        <w:spacing w:before="200" w:line-rule="auto"/>
        <w:ind w:firstLine="540"/>
        <w:jc w:val="both"/>
      </w:pPr>
      <w:r>
        <w:rPr>
          <w:sz w:val="20"/>
        </w:rPr>
        <w:t xml:space="preserve">"1. Порядок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в сфере градостроительной деятельности (за исключением территориального планирования) (далее - Порядок) устанавливает общие правила определения государственными или муниципальными заказчиками, а также заказчиками, указанными в </w:t>
      </w:r>
      <w:hyperlink w:history="0" r:id="rId15" w:tooltip="Федеральный закон от 05.04.2013 N 44-ФЗ (ред. от 14.07.2022)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частях 1</w:t>
        </w:r>
      </w:hyperlink>
      <w:r>
        <w:rPr>
          <w:sz w:val="20"/>
        </w:rPr>
        <w:t xml:space="preserve">, </w:t>
      </w:r>
      <w:hyperlink w:history="0" r:id="rId16" w:tooltip="Федеральный закон от 05.04.2013 N 44-ФЗ (ред. от 14.07.2022)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2.1</w:t>
        </w:r>
      </w:hyperlink>
      <w:r>
        <w:rPr>
          <w:sz w:val="20"/>
        </w:rPr>
        <w:t xml:space="preserve">, </w:t>
      </w:r>
      <w:hyperlink w:history="0" r:id="rId17" w:tooltip="Федеральный закон от 05.04.2013 N 44-ФЗ (ред. от 14.07.2022)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4</w:t>
        </w:r>
      </w:hyperlink>
      <w:r>
        <w:rPr>
          <w:sz w:val="20"/>
        </w:rPr>
        <w:t xml:space="preserve"> и </w:t>
      </w:r>
      <w:hyperlink w:history="0" r:id="rId18" w:tooltip="Федеральный закон от 05.04.2013 N 44-ФЗ (ред. от 14.07.2022)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5 статьи 15</w:t>
        </w:r>
      </w:hyperlink>
      <w:r>
        <w:rPr>
          <w:sz w:val="20"/>
        </w:rPr>
        <w:t xml:space="preserve"> Федерального закона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2016, N 27, ст. 4254; 2019, N 14, ст. 1463, N 18, ст. 2194) (далее соответственно - заказчики, Федеральный закон N 44-ФЗ), начальной (максимальной) цены контракта, цены контракта, заключаемого с единственным поставщиком (подрядчиком, исполнителем) (далее - НМЦК), начальной цены единицы товара, работы, услуги в отношении:";</w:t>
      </w:r>
    </w:p>
    <w:p>
      <w:pPr>
        <w:pStyle w:val="0"/>
        <w:spacing w:before="200" w:line-rule="auto"/>
        <w:ind w:firstLine="540"/>
        <w:jc w:val="both"/>
      </w:pPr>
      <w:r>
        <w:rPr>
          <w:sz w:val="20"/>
        </w:rPr>
        <w:t xml:space="preserve">в </w:t>
      </w:r>
      <w:hyperlink w:history="0" r:id="rId19" w:tooltip="Приказ Минстроя России от 23.12.2019 N 841/пр (ред. от 25.02.2022) &quot;Об утверждении Порядка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в сфере градостроительной деятельности (за исключением территориального планирования) и Методики составления сметы контракта, предметом которого являются строительство, реконструкция объектов капитального строит ------------ Недействующая редакция {КонсультантПлюс}">
        <w:r>
          <w:rPr>
            <w:sz w:val="20"/>
            <w:color w:val="0000ff"/>
          </w:rPr>
          <w:t xml:space="preserve">подпункте 2</w:t>
        </w:r>
      </w:hyperlink>
      <w:r>
        <w:rPr>
          <w:sz w:val="20"/>
        </w:rPr>
        <w:t xml:space="preserve"> слова ", в том числе по составлению проекта сметы контракта" исключить.</w:t>
      </w:r>
    </w:p>
    <w:p>
      <w:pPr>
        <w:pStyle w:val="0"/>
        <w:spacing w:before="200" w:line-rule="auto"/>
        <w:ind w:firstLine="540"/>
        <w:jc w:val="both"/>
      </w:pPr>
      <w:r>
        <w:rPr>
          <w:sz w:val="20"/>
        </w:rPr>
        <w:t xml:space="preserve">2.2. </w:t>
      </w:r>
      <w:hyperlink w:history="0" r:id="rId20" w:tooltip="Приказ Минстроя России от 23.12.2019 N 841/пр (ред. от 25.02.2022) &quot;Об утверждении Порядка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в сфере градостроительной деятельности (за исключением территориального планирования) и Методики составления сметы контракта, предметом которого являются строительство, реконструкция объектов капитального строит ------------ Недействующая редакция {КонсультантПлюс}">
        <w:r>
          <w:rPr>
            <w:sz w:val="20"/>
            <w:color w:val="0000ff"/>
          </w:rPr>
          <w:t xml:space="preserve">Пункт 2</w:t>
        </w:r>
      </w:hyperlink>
      <w:r>
        <w:rPr>
          <w:sz w:val="20"/>
        </w:rPr>
        <w:t xml:space="preserve"> изложить в следующей редакции:</w:t>
      </w:r>
    </w:p>
    <w:p>
      <w:pPr>
        <w:pStyle w:val="0"/>
        <w:spacing w:before="200" w:line-rule="auto"/>
        <w:ind w:firstLine="540"/>
        <w:jc w:val="both"/>
      </w:pPr>
      <w:r>
        <w:rPr>
          <w:sz w:val="20"/>
        </w:rPr>
        <w:t xml:space="preserve">"2. Определение НМЦК, начальной цены единицы товара, работы, услуги осуществляется заказчиками в процессе подготовки извещения об осуществлении закупки, документации о закупке (в случае, если Федеральным </w:t>
      </w:r>
      <w:hyperlink w:history="0" r:id="rId21" w:tooltip="Федеральный закон от 05.04.2013 N 44-ФЗ (ред. от 14.07.2022)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N 44-ФЗ предусмотрена документация о закупке), а при осуществлении закупки у единственного поставщика (подрядчика, исполнителя) - при подготовке проекта контракта.".</w:t>
      </w:r>
    </w:p>
    <w:p>
      <w:pPr>
        <w:pStyle w:val="0"/>
        <w:spacing w:before="200" w:line-rule="auto"/>
        <w:ind w:firstLine="540"/>
        <w:jc w:val="both"/>
      </w:pPr>
      <w:r>
        <w:rPr>
          <w:sz w:val="20"/>
        </w:rPr>
        <w:t xml:space="preserve">2.3. </w:t>
      </w:r>
      <w:hyperlink w:history="0" r:id="rId22" w:tooltip="Приказ Минстроя России от 23.12.2019 N 841/пр (ред. от 25.02.2022) &quot;Об утверждении Порядка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в сфере градостроительной деятельности (за исключением территориального планирования) и Методики составления сметы контракта, предметом которого являются строительство, реконструкция объектов капитального строит ------------ Недействующая редакция {КонсультантПлюс}">
        <w:r>
          <w:rPr>
            <w:sz w:val="20"/>
            <w:color w:val="0000ff"/>
          </w:rPr>
          <w:t xml:space="preserve">Пункт 4</w:t>
        </w:r>
      </w:hyperlink>
      <w:r>
        <w:rPr>
          <w:sz w:val="20"/>
        </w:rPr>
        <w:t xml:space="preserve"> изложить в следующей редакции:</w:t>
      </w:r>
    </w:p>
    <w:p>
      <w:pPr>
        <w:pStyle w:val="0"/>
        <w:spacing w:before="200" w:line-rule="auto"/>
        <w:ind w:firstLine="540"/>
        <w:jc w:val="both"/>
      </w:pPr>
      <w:r>
        <w:rPr>
          <w:sz w:val="20"/>
        </w:rPr>
        <w:t xml:space="preserve">"4. НМЦК при осуществлении закупок в сфере градостроительной деятельности (за исключением территориального планирования) определяется заказчиком в соответствии со </w:t>
      </w:r>
      <w:hyperlink w:history="0" r:id="rId23" w:tooltip="Федеральный закон от 05.04.2013 N 44-ФЗ (ред. от 14.07.2022)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статьей 22</w:t>
        </w:r>
      </w:hyperlink>
      <w:r>
        <w:rPr>
          <w:sz w:val="20"/>
        </w:rPr>
        <w:t xml:space="preserve"> Федерального закона N 44-ФЗ (Собрание законодательства Российской Федерации, 2013, N 14, ст. 1652; 2022, N 16, ст. 2606).</w:t>
      </w:r>
    </w:p>
    <w:p>
      <w:pPr>
        <w:pStyle w:val="0"/>
        <w:spacing w:before="200" w:line-rule="auto"/>
        <w:ind w:firstLine="540"/>
        <w:jc w:val="both"/>
      </w:pPr>
      <w:r>
        <w:rPr>
          <w:sz w:val="20"/>
        </w:rPr>
        <w:t xml:space="preserve">По решению заказчика положения Порядка используются при определении и обосновании НМЦК, цены контракта, заключаемого с единственным поставщиком (подрядчиком, исполнителем), на текущий ремонт зданий, строений, сооружений, помещений, расположенных на территории Российской Федерации, проектно-сметным методом.".</w:t>
      </w:r>
    </w:p>
    <w:p>
      <w:pPr>
        <w:pStyle w:val="0"/>
        <w:spacing w:before="200" w:line-rule="auto"/>
        <w:ind w:firstLine="540"/>
        <w:jc w:val="both"/>
      </w:pPr>
      <w:r>
        <w:rPr>
          <w:sz w:val="20"/>
        </w:rPr>
        <w:t xml:space="preserve">2.4. </w:t>
      </w:r>
      <w:hyperlink w:history="0" r:id="rId24" w:tooltip="Приказ Минстроя России от 23.12.2019 N 841/пр (ред. от 25.02.2022) &quot;Об утверждении Порядка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в сфере градостроительной деятельности (за исключением территориального планирования) и Методики составления сметы контракта, предметом которого являются строительство, реконструкция объектов капитального строит ------------ Недействующая редакция {КонсультантПлюс}">
        <w:r>
          <w:rPr>
            <w:sz w:val="20"/>
            <w:color w:val="0000ff"/>
          </w:rPr>
          <w:t xml:space="preserve">Пункт 5</w:t>
        </w:r>
      </w:hyperlink>
      <w:r>
        <w:rPr>
          <w:sz w:val="20"/>
        </w:rPr>
        <w:t xml:space="preserve"> изложить в следующей редакции:</w:t>
      </w:r>
    </w:p>
    <w:p>
      <w:pPr>
        <w:pStyle w:val="0"/>
        <w:spacing w:before="200" w:line-rule="auto"/>
        <w:ind w:firstLine="540"/>
        <w:jc w:val="both"/>
      </w:pPr>
      <w:r>
        <w:rPr>
          <w:sz w:val="20"/>
        </w:rPr>
        <w:t xml:space="preserve">"5. Определение НМЦК проектно-сметным методом при осуществлении закупки подрядных работ по строительству, реконструкции, капитальному ремонту, сносу объекта капитального строительства осуществляется заказчиком на основании сметной документации, входящей в состав проектной документации в соответствии с </w:t>
      </w:r>
      <w:hyperlink w:history="0" r:id="rId25" w:tooltip="Постановление Правительства РФ от 16.02.2008 N 87 (ред. от 27.05.2022) &quot;О составе разделов проектной документации и требованиях к их содержанию&quot; {КонсультантПлюс}">
        <w:r>
          <w:rPr>
            <w:sz w:val="20"/>
            <w:color w:val="0000ff"/>
          </w:rPr>
          <w:t xml:space="preserve">пунктом 28</w:t>
        </w:r>
      </w:hyperlink>
      <w:r>
        <w:rPr>
          <w:sz w:val="20"/>
        </w:rPr>
        <w:t xml:space="preserve"> Положения о составе разделов проектной документации и требованиях к их содержанию, утвержденного постановлением Правительства Российской Федерации от 16 февраля 2008 г. N 87 (Собрание законодательства Российской Федерации, 2008, N 8, ст. 744; 2022, N 23, ст. 3791) (далее - сметная документация), утвержденной в порядке, установленном законодательством о градостроительной деятельности, определяющей сметную стоимость в соответствии с </w:t>
      </w:r>
      <w:hyperlink w:history="0" r:id="rId26" w:tooltip="&quot;Градостроительный кодекс Российской Федерации&quot; от 29.12.2004 N 190-ФЗ (ред. от 14.07.2022) (с изм. и доп., вступ. в силу с 01.09.2022) {КонсультантПлюс}">
        <w:r>
          <w:rPr>
            <w:sz w:val="20"/>
            <w:color w:val="0000ff"/>
          </w:rPr>
          <w:t xml:space="preserve">частью 1 статьи 8.3</w:t>
        </w:r>
      </w:hyperlink>
      <w:r>
        <w:rPr>
          <w:sz w:val="20"/>
        </w:rPr>
        <w:t xml:space="preserve"> Градостроительного кодекса Российской Федерации (Собрание законодательства Российской Федерации, 2005, N 1, ст. 16; 2022, N 18, ст. 3010).</w:t>
      </w:r>
    </w:p>
    <w:p>
      <w:pPr>
        <w:pStyle w:val="0"/>
        <w:spacing w:before="200" w:line-rule="auto"/>
        <w:ind w:firstLine="540"/>
        <w:jc w:val="both"/>
      </w:pPr>
      <w:r>
        <w:rPr>
          <w:sz w:val="20"/>
        </w:rPr>
        <w:t xml:space="preserve">Перечень, объемы и стоимость работ и услуг, учитываемых при определении НМЦК проектно-сметным методом, определяются заказчиком на основании утвержденной проектной документацией по объекту закупки.".</w:t>
      </w:r>
    </w:p>
    <w:p>
      <w:pPr>
        <w:pStyle w:val="0"/>
        <w:spacing w:before="200" w:line-rule="auto"/>
        <w:ind w:firstLine="540"/>
        <w:jc w:val="both"/>
      </w:pPr>
      <w:r>
        <w:rPr>
          <w:sz w:val="20"/>
        </w:rPr>
        <w:t xml:space="preserve">2.5. </w:t>
      </w:r>
      <w:hyperlink w:history="0" r:id="rId27" w:tooltip="Приказ Минстроя России от 23.12.2019 N 841/пр (ред. от 25.02.2022) &quot;Об утверждении Порядка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в сфере градостроительной деятельности (за исключением территориального планирования) и Методики составления сметы контракта, предметом которого являются строительство, реконструкция объектов капитального строит ------------ Недействующая редакция {КонсультантПлюс}">
        <w:r>
          <w:rPr>
            <w:sz w:val="20"/>
            <w:color w:val="0000ff"/>
          </w:rPr>
          <w:t xml:space="preserve">Пункт 7</w:t>
        </w:r>
      </w:hyperlink>
      <w:r>
        <w:rPr>
          <w:sz w:val="20"/>
        </w:rPr>
        <w:t xml:space="preserve"> после слов "в виде протокола" дополнить словами ", к которому прилагаются расчеты, использованные при определении НМЦК".</w:t>
      </w:r>
    </w:p>
    <w:p>
      <w:pPr>
        <w:pStyle w:val="0"/>
        <w:spacing w:before="200" w:line-rule="auto"/>
        <w:ind w:firstLine="540"/>
        <w:jc w:val="both"/>
      </w:pPr>
      <w:r>
        <w:rPr>
          <w:sz w:val="20"/>
        </w:rPr>
        <w:t xml:space="preserve">2.6. </w:t>
      </w:r>
      <w:hyperlink w:history="0" r:id="rId28" w:tooltip="Приказ Минстроя России от 23.12.2019 N 841/пр (ред. от 25.02.2022) &quot;Об утверждении Порядка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в сфере градостроительной деятельности (за исключением территориального планирования) и Методики составления сметы контракта, предметом которого являются строительство, реконструкция объектов капитального строит ------------ Недействующая редакция {КонсультантПлюс}">
        <w:r>
          <w:rPr>
            <w:sz w:val="20"/>
            <w:color w:val="0000ff"/>
          </w:rPr>
          <w:t xml:space="preserve">Пункт 8</w:t>
        </w:r>
      </w:hyperlink>
      <w:r>
        <w:rPr>
          <w:sz w:val="20"/>
        </w:rPr>
        <w:t xml:space="preserve"> изложить в следующей редакции:</w:t>
      </w:r>
    </w:p>
    <w:p>
      <w:pPr>
        <w:pStyle w:val="0"/>
        <w:spacing w:before="200" w:line-rule="auto"/>
        <w:ind w:firstLine="540"/>
        <w:jc w:val="both"/>
      </w:pPr>
      <w:r>
        <w:rPr>
          <w:sz w:val="20"/>
        </w:rPr>
        <w:t xml:space="preserve">"8. НМЦК в случае, указанном в пункте 5 настоящего Порядка, определяется с применением:</w:t>
      </w:r>
    </w:p>
    <w:p>
      <w:pPr>
        <w:pStyle w:val="0"/>
        <w:spacing w:before="200" w:line-rule="auto"/>
        <w:ind w:firstLine="540"/>
        <w:jc w:val="both"/>
      </w:pPr>
      <w:r>
        <w:rPr>
          <w:sz w:val="20"/>
        </w:rPr>
        <w:t xml:space="preserve">а) официальной статистической информации об индексах цен на продукцию (затраты, услуги) инвестиционного назначения по видам экономической деятельности (строительство), публикуемой Федеральной службой государственной статистики для соответствующего периода в целом по Российской Федерации или индексов фактической инфляции (при наличии), установленных уполномоченными органами исполнительной власти субъектов Российской Федерации, в случае осуществления закупок за счет средств бюджета субъекта Российской Федерации (далее - индексы фактической инфляции). Индексы фактической инфляции применяются для пересчета сметной стоимости строительства из уровня цен, в котором утверждена проектная документация (далее - уровень цен на дату утверждения проектной документации), в уровень цен на дату определения НМЦК.</w:t>
      </w:r>
    </w:p>
    <w:p>
      <w:pPr>
        <w:pStyle w:val="0"/>
        <w:spacing w:before="200" w:line-rule="auto"/>
        <w:ind w:firstLine="540"/>
        <w:jc w:val="both"/>
      </w:pPr>
      <w:r>
        <w:rPr>
          <w:sz w:val="20"/>
        </w:rPr>
        <w:t xml:space="preserve">При этом за дату утверждения проектной документации принимается дата последнего месяца квартала, принятого для определения индексов изменения сметной стоимости строительства, размещаемых Министерством строительства и жилищно-коммунального хозяйства Российской Федерации в федеральном реестре сметных нормативов в соответствии с </w:t>
      </w:r>
      <w:hyperlink w:history="0" r:id="rId29" w:tooltip="Приказ Минстроя России от 24.10.2017 N 1470/пр &quot;Об утверждении Порядка формирования и ведения федерального реестра сметных нормативов&quot; (Зарегистрировано в Минюсте России 14.05.2018 N 51079) {КонсультантПлюс}">
        <w:r>
          <w:rPr>
            <w:sz w:val="20"/>
            <w:color w:val="0000ff"/>
          </w:rPr>
          <w:t xml:space="preserve">Порядком</w:t>
        </w:r>
      </w:hyperlink>
      <w:r>
        <w:rPr>
          <w:sz w:val="20"/>
        </w:rPr>
        <w:t xml:space="preserve"> формирования и ведения федерального реестра сметных нормативов, утвержденным приказом Министерства строительства и жилищно-коммунального хозяйства Российской Федерации от 24 октября 2017 г. N 1470/пр (зарегистрирован Министерством юстиции Российской Федерации 14 мая 2018 г., регистрационный N 51079) (далее соответственно - федеральный реестр сметных нормативов, Приказ Министерства строительства и жилищно-коммунального хозяйства Российской Федерации от 24 октября 2017 г. N 1470/пр), используемых при формировании сметной документации, определяющей сметную стоимость работ и затрат, включенных в предмет контракта.</w:t>
      </w:r>
    </w:p>
    <w:p>
      <w:pPr>
        <w:pStyle w:val="0"/>
        <w:spacing w:before="200" w:line-rule="auto"/>
        <w:ind w:firstLine="540"/>
        <w:jc w:val="both"/>
      </w:pPr>
      <w:r>
        <w:rPr>
          <w:sz w:val="20"/>
        </w:rPr>
        <w:t xml:space="preserve">При наличии индексов фактической инфляции по месяцам, установленных уполномоченными органами исполнительной власти субъектов Российской Федерации, в случае осуществления закупок за счет средств бюджета субъекта Российской Федерации за дату утверждения проектной документации принимается текущий уровень цен сводного сметного расчета, принятый при формировании сметной документации, с учетом установленных федеральным законом и принимаемыми в соответствии с ним законами и иными нормативными правовыми актами субъекта Российской Федерации особенностей ценообразования и сметного нормирования.</w:t>
      </w:r>
    </w:p>
    <w:p>
      <w:pPr>
        <w:pStyle w:val="0"/>
        <w:spacing w:before="200" w:line-rule="auto"/>
        <w:ind w:firstLine="540"/>
        <w:jc w:val="both"/>
      </w:pPr>
      <w:r>
        <w:rPr>
          <w:sz w:val="20"/>
        </w:rPr>
        <w:t xml:space="preserve">За дату определения НМЦК принимается дата окончания расчета НМЦК.</w:t>
      </w:r>
    </w:p>
    <w:p>
      <w:pPr>
        <w:pStyle w:val="0"/>
        <w:spacing w:before="200" w:line-rule="auto"/>
        <w:ind w:firstLine="540"/>
        <w:jc w:val="both"/>
      </w:pPr>
      <w:r>
        <w:rPr>
          <w:sz w:val="20"/>
        </w:rPr>
        <w:t xml:space="preserve">В случае отсутствия информации о величине индекса фактической инфляции на месяц, предшествующий дате определения НМЦК, для расчета принимается индекс фактической инфляции в размере, установленном для последнего опубликованного месяца.</w:t>
      </w:r>
    </w:p>
    <w:p>
      <w:pPr>
        <w:pStyle w:val="0"/>
        <w:spacing w:before="200" w:line-rule="auto"/>
        <w:ind w:firstLine="540"/>
        <w:jc w:val="both"/>
      </w:pPr>
      <w:r>
        <w:rPr>
          <w:sz w:val="20"/>
        </w:rPr>
        <w:t xml:space="preserve">Если для определения НМЦК используется сметная документация, разработанная на основании применяемой на дату определения НМЦК сметно-нормативной базы (за исключением случая формирования сметной документации с учетом установленных федеральным законом и принимаемыми в соответствии с ним законами и иными нормативными правовыми актами субъекта Российской Федерации особенностей ценообразования и сметного нормирования, а также случая формирования сметной документации в уровне цен на дату утверждения проектной документации с применением документов в сфере ценообразования и сметного нормирования в области градостроительной деятельности, которые утверждены органами исполнительной власти субъектов Российской Федерации в порядке, установленном до 3 июля 2016 года в соответствии с </w:t>
      </w:r>
      <w:hyperlink w:history="0" r:id="rId30"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частью 1 статьи 3</w:t>
        </w:r>
      </w:hyperlink>
      <w:r>
        <w:rPr>
          <w:sz w:val="20"/>
        </w:rPr>
        <w:t xml:space="preserve"> Федерального закона от 26 июля 2017 г. N 191-ФЗ "О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 (Собрание законодательства Российской Федерации, 2017, N 31, ст. 4740) (далее - Федеральный закон N 191-ФЗ), то для пересчета сметной стоимости строительства в уровень цен на дату определения НМЦК используются индексы изменения сметной стоимости строительства, размещаемые Министерством строительства и жилищно-коммунального хозяйства Российской Федерации в федеральном реестре сметных нормативов и действующие на дату определения НМЦК.</w:t>
      </w:r>
    </w:p>
    <w:p>
      <w:pPr>
        <w:pStyle w:val="0"/>
        <w:spacing w:before="200" w:line-rule="auto"/>
        <w:ind w:firstLine="540"/>
        <w:jc w:val="both"/>
      </w:pPr>
      <w:r>
        <w:rPr>
          <w:sz w:val="20"/>
        </w:rPr>
        <w:t xml:space="preserve">При этом стоимость строительных ресурсов, учтенных в сметной документации и отсутствующих в сметно-нормативной базе (принятых по фактической стоимости на основании прейскурантов, коммерческих предложений, прайс-листов), пересчитывается по наиболее экономичному варианту либо с применением индексов фактической инфляции, либо по результатам конъюнктурного анализа текущих цен таких ресурсов, выполненного в соответствии с </w:t>
      </w:r>
      <w:hyperlink w:history="0" r:id="rId31" w:tooltip="Приказ Минстроя России от 04.08.2020 N 421/пр (ред. от 07.07.2022) &quot;Об утверждении Методики определения сметной стоимости строительства, реконструкции, капитального ремонта, сноса объектов капитального строительства, работ по сохранению объектов культурного наследия (памятников истории и культуры) народов Российской Федерации на территории Российской Федерации&quot; (Зарегистрировано в Минюсте России 23.09.2020 N 59986) {КонсультантПлюс}">
        <w:r>
          <w:rPr>
            <w:sz w:val="20"/>
            <w:color w:val="0000ff"/>
          </w:rPr>
          <w:t xml:space="preserve">пунктами 13</w:t>
        </w:r>
      </w:hyperlink>
      <w:r>
        <w:rPr>
          <w:sz w:val="20"/>
        </w:rPr>
        <w:t xml:space="preserve"> - </w:t>
      </w:r>
      <w:hyperlink w:history="0" r:id="rId32" w:tooltip="Приказ Минстроя России от 04.08.2020 N 421/пр (ред. от 07.07.2022) &quot;Об утверждении Методики определения сметной стоимости строительства, реконструкции, капитального ремонта, сноса объектов капитального строительства, работ по сохранению объектов культурного наследия (памятников истории и культуры) народов Российской Федерации на территории Российской Федерации&quot; (Зарегистрировано в Минюсте России 23.09.2020 N 59986) {КонсультантПлюс}">
        <w:r>
          <w:rPr>
            <w:sz w:val="20"/>
            <w:color w:val="0000ff"/>
          </w:rPr>
          <w:t xml:space="preserve">22</w:t>
        </w:r>
      </w:hyperlink>
      <w:r>
        <w:rPr>
          <w:sz w:val="20"/>
        </w:rPr>
        <w:t xml:space="preserve"> Методики определения сметной стоимости строительства, реконструкции, капитального ремонта, сноса объектов капитального строительства, работ по сохранению объектов культурного наследия (памятников истории и культуры) народов Российской Федерации на территории Российской Федерации, утвержденной приказом Министерства строительства и жилищно-коммунального хозяйства Российской Федерации от 4 августа 2020 г. N 421/пр (зарегистрирован Министерством юстиции Российской Федерации 23 сентября 2020 г., регистрационный N 59986), с изменениями, внесенными приказом Министерства строительства и жилищно-коммунального хозяйства Российской Федерации от 7 июля 2022 г. N 557/пр (зарегистрирован Министерством юстиции Российской Федерации 31 августа 2022 г., регистрационный N 69860);</w:t>
      </w:r>
    </w:p>
    <w:p>
      <w:pPr>
        <w:pStyle w:val="0"/>
        <w:spacing w:before="200" w:line-rule="auto"/>
        <w:ind w:firstLine="540"/>
        <w:jc w:val="both"/>
      </w:pPr>
      <w:r>
        <w:rPr>
          <w:sz w:val="20"/>
        </w:rPr>
        <w:t xml:space="preserve">б) индексов-дефляторов Министерства экономического развития Российской Федерации по строке "Инвестиции в основной капитал (капитальные вложения)" или прогнозных индексов инфляции (при наличии), установленных уполномоченным органом исполнительной власти субъекта Российской Федерации, в случае осуществления закупок за счет средств бюджета субъекта Российской Федерации (далее - индекс прогнозной инфляции). Индексы прогнозной инфляции применяются для пересчета сметной стоимости строительства из уровня цен на дату определения НМЦК в уровень цен соответствующего периода реализации проекта.</w:t>
      </w:r>
    </w:p>
    <w:p>
      <w:pPr>
        <w:pStyle w:val="0"/>
        <w:spacing w:before="200" w:line-rule="auto"/>
        <w:ind w:firstLine="540"/>
        <w:jc w:val="both"/>
      </w:pPr>
      <w:r>
        <w:rPr>
          <w:sz w:val="20"/>
        </w:rPr>
        <w:t xml:space="preserve">Индекс прогнозной инфляции на один месяц определяется по формуле (1):</w:t>
      </w:r>
    </w:p>
    <w:p>
      <w:pPr>
        <w:pStyle w:val="0"/>
        <w:jc w:val="both"/>
      </w:pPr>
      <w:r>
        <w:rPr>
          <w:sz w:val="20"/>
        </w:rPr>
      </w:r>
    </w:p>
    <w:p>
      <w:pPr>
        <w:pStyle w:val="0"/>
        <w:jc w:val="center"/>
      </w:pPr>
      <w:r>
        <w:rPr>
          <w:position w:val="-11"/>
        </w:rPr>
        <w:drawing>
          <wp:inline distT="0" distB="0" distL="0" distR="0">
            <wp:extent cx="1533525" cy="2667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
                      <a:extLst>
                        <a:ext uri="{28A0092B-C50C-407E-A947-70E740481C1C}">
                          <a14:useLocalDpi xmlns:a14="http://schemas.microsoft.com/office/drawing/2010/main" val="0"/>
                        </a:ext>
                      </a:extLst>
                    </a:blip>
                    <a:srcRect/>
                    <a:stretch>
                      <a:fillRect/>
                    </a:stretch>
                  </pic:blipFill>
                  <pic:spPr bwMode="auto">
                    <a:xfrm>
                      <a:off x="0" y="0"/>
                      <a:ext cx="1533525" cy="266700"/>
                    </a:xfrm>
                    <a:prstGeom prst="rect">
                      <a:avLst/>
                    </a:prstGeom>
                    <a:noFill/>
                    <a:ln>
                      <a:noFill/>
                    </a:ln>
                  </pic:spPr>
                </pic:pic>
              </a:graphicData>
            </a:graphic>
          </wp:inline>
        </w:drawing>
      </w:r>
      <w:r>
        <w:rPr>
          <w:sz w:val="20"/>
        </w:rPr>
        <w:t xml:space="preserve"> (1)</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К</w:t>
      </w:r>
      <w:r>
        <w:rPr>
          <w:sz w:val="20"/>
          <w:vertAlign w:val="subscript"/>
        </w:rPr>
        <w:t xml:space="preserve">инфл.мес.</w:t>
      </w:r>
      <w:r>
        <w:rPr>
          <w:sz w:val="20"/>
        </w:rPr>
        <w:t xml:space="preserve"> - индекс прогнозной инфляции на один месяц, полученное значение округляется до 4 знаков после запятой;</w:t>
      </w:r>
    </w:p>
    <w:p>
      <w:pPr>
        <w:pStyle w:val="0"/>
        <w:spacing w:before="200" w:line-rule="auto"/>
        <w:ind w:firstLine="540"/>
        <w:jc w:val="both"/>
      </w:pPr>
      <w:r>
        <w:rPr>
          <w:sz w:val="20"/>
        </w:rPr>
        <w:t xml:space="preserve">К</w:t>
      </w:r>
      <w:r>
        <w:rPr>
          <w:sz w:val="20"/>
          <w:vertAlign w:val="subscript"/>
        </w:rPr>
        <w:t xml:space="preserve">инфл.год.</w:t>
      </w:r>
      <w:r>
        <w:rPr>
          <w:sz w:val="20"/>
        </w:rPr>
        <w:t xml:space="preserve"> - индекс-дефлятор Министерства экономического развития Российской Федерации по строке "Инвестиции в основной капитал (капитальные вложения)", установленный в целом на год.</w:t>
      </w:r>
    </w:p>
    <w:p>
      <w:pPr>
        <w:pStyle w:val="0"/>
        <w:spacing w:before="200" w:line-rule="auto"/>
        <w:ind w:firstLine="540"/>
        <w:jc w:val="both"/>
      </w:pPr>
      <w:r>
        <w:rPr>
          <w:sz w:val="20"/>
        </w:rPr>
        <w:t xml:space="preserve">Для определения размера индекса прогнозной инфляции для периода в несколько месяцев величина индекса прогнозной инфляции на один месяц возводится в степень, размер которой соответствует количеству месяцев от даты определения НМЦК до даты окончания работ. Индекс прогнозной инфляции для периода выполнения работ (К</w:t>
      </w:r>
      <w:r>
        <w:rPr>
          <w:sz w:val="20"/>
          <w:vertAlign w:val="subscript"/>
        </w:rPr>
        <w:t xml:space="preserve">инфл.пер.</w:t>
      </w:r>
      <w:r>
        <w:rPr>
          <w:sz w:val="20"/>
        </w:rPr>
        <w:t xml:space="preserve">), не превышающего один календарный год, рассчитывается по формуле (1.1):</w:t>
      </w:r>
    </w:p>
    <w:p>
      <w:pPr>
        <w:pStyle w:val="0"/>
        <w:jc w:val="both"/>
      </w:pPr>
      <w:r>
        <w:rPr>
          <w:sz w:val="20"/>
        </w:rPr>
      </w:r>
    </w:p>
    <w:p>
      <w:pPr>
        <w:pStyle w:val="0"/>
        <w:jc w:val="center"/>
      </w:pPr>
      <w:r>
        <w:rPr>
          <w:position w:val="-28"/>
        </w:rPr>
        <w:drawing>
          <wp:inline distT="0" distB="0" distL="0" distR="0">
            <wp:extent cx="2238375" cy="4857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
                      <a:extLst>
                        <a:ext uri="{28A0092B-C50C-407E-A947-70E740481C1C}">
                          <a14:useLocalDpi xmlns:a14="http://schemas.microsoft.com/office/drawing/2010/main" val="0"/>
                        </a:ext>
                      </a:extLst>
                    </a:blip>
                    <a:srcRect/>
                    <a:stretch>
                      <a:fillRect/>
                    </a:stretch>
                  </pic:blipFill>
                  <pic:spPr bwMode="auto">
                    <a:xfrm>
                      <a:off x="0" y="0"/>
                      <a:ext cx="2238375" cy="485775"/>
                    </a:xfrm>
                    <a:prstGeom prst="rect">
                      <a:avLst/>
                    </a:prstGeom>
                    <a:noFill/>
                    <a:ln>
                      <a:noFill/>
                    </a:ln>
                  </pic:spPr>
                </pic:pic>
              </a:graphicData>
            </a:graphic>
          </wp:inline>
        </w:drawing>
      </w:r>
      <w:r>
        <w:rPr>
          <w:sz w:val="20"/>
        </w:rPr>
        <w:t xml:space="preserve"> (1.1),</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К</w:t>
      </w:r>
      <w:r>
        <w:rPr>
          <w:sz w:val="20"/>
          <w:vertAlign w:val="subscript"/>
        </w:rPr>
        <w:t xml:space="preserve">инфл.пер</w:t>
      </w:r>
      <w:r>
        <w:rPr>
          <w:sz w:val="20"/>
        </w:rPr>
        <w:t xml:space="preserve"> - индекс прогнозной инфляции для периода выполнения работ, полученное значение округляется до 4 знаков после запятой;</w:t>
      </w:r>
    </w:p>
    <w:p>
      <w:pPr>
        <w:pStyle w:val="0"/>
        <w:spacing w:before="200" w:line-rule="auto"/>
        <w:ind w:firstLine="540"/>
        <w:jc w:val="both"/>
      </w:pPr>
      <w:r>
        <w:rPr>
          <w:sz w:val="20"/>
        </w:rPr>
        <w:t xml:space="preserve">n - период от даты определения НМЦК до даты окончания работ, мес.</w:t>
      </w:r>
    </w:p>
    <w:p>
      <w:pPr>
        <w:pStyle w:val="0"/>
        <w:spacing w:before="200" w:line-rule="auto"/>
        <w:ind w:firstLine="540"/>
        <w:jc w:val="both"/>
      </w:pPr>
      <w:r>
        <w:rPr>
          <w:sz w:val="20"/>
        </w:rPr>
        <w:t xml:space="preserve">В случае, если срок выполнения подрядных работ превышает календарный год, то К</w:t>
      </w:r>
      <w:r>
        <w:rPr>
          <w:sz w:val="20"/>
          <w:vertAlign w:val="subscript"/>
        </w:rPr>
        <w:t xml:space="preserve">инфл.пер.</w:t>
      </w:r>
      <w:r>
        <w:rPr>
          <w:sz w:val="20"/>
        </w:rPr>
        <w:t xml:space="preserve"> для второго календарного и последующих годов рассчитывается аналогично порядку, установленному пунктом 23 Порядка.".</w:t>
      </w:r>
    </w:p>
    <w:p>
      <w:pPr>
        <w:pStyle w:val="0"/>
        <w:spacing w:before="200" w:line-rule="auto"/>
        <w:ind w:firstLine="540"/>
        <w:jc w:val="both"/>
      </w:pPr>
      <w:r>
        <w:rPr>
          <w:sz w:val="20"/>
        </w:rPr>
        <w:t xml:space="preserve">2.7. В </w:t>
      </w:r>
      <w:hyperlink w:history="0" r:id="rId35" w:tooltip="Приказ Минстроя России от 23.12.2019 N 841/пр (ред. от 25.02.2022) &quot;Об утверждении Порядка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в сфере градостроительной деятельности (за исключением территориального планирования) и Методики составления сметы контракта, предметом которого являются строительство, реконструкция объектов капитального строит ------------ Недействующая редакция {КонсультантПлюс}">
        <w:r>
          <w:rPr>
            <w:sz w:val="20"/>
            <w:color w:val="0000ff"/>
          </w:rPr>
          <w:t xml:space="preserve">пункте 10</w:t>
        </w:r>
      </w:hyperlink>
      <w:r>
        <w:rPr>
          <w:sz w:val="20"/>
        </w:rPr>
        <w:t xml:space="preserve"> слова "Порядком формирования и ведения федерального реестра сметных нормативов, утвержденным приказом Министерства строительства и жилищно-коммунального хозяйства Российской Федерации от 24 октября 2017 г. N 1470/пр (зарегистрирован Министерством юстиции Российской Федерации 14 мая 2018 г., регистрационный N 51079) (далее - федеральный реестр сметных нормативов)" заменить словами "федеральным реестром сметных нормативов";</w:t>
      </w:r>
    </w:p>
    <w:p>
      <w:pPr>
        <w:pStyle w:val="0"/>
        <w:spacing w:before="200" w:line-rule="auto"/>
        <w:ind w:firstLine="540"/>
        <w:jc w:val="both"/>
      </w:pPr>
      <w:r>
        <w:rPr>
          <w:sz w:val="20"/>
        </w:rPr>
        <w:t xml:space="preserve">2.8. </w:t>
      </w:r>
      <w:hyperlink w:history="0" r:id="rId36" w:tooltip="Приказ Минстроя России от 23.12.2019 N 841/пр (ред. от 25.02.2022) &quot;Об утверждении Порядка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в сфере градостроительной деятельности (за исключением территориального планирования) и Методики составления сметы контракта, предметом которого являются строительство, реконструкция объектов капитального строит ------------ Недействующая редакция {КонсультантПлюс}">
        <w:r>
          <w:rPr>
            <w:sz w:val="20"/>
            <w:color w:val="0000ff"/>
          </w:rPr>
          <w:t xml:space="preserve">Дополнить</w:t>
        </w:r>
      </w:hyperlink>
      <w:r>
        <w:rPr>
          <w:sz w:val="20"/>
        </w:rPr>
        <w:t xml:space="preserve"> пунктом 10.1 следующего содержания:</w:t>
      </w:r>
    </w:p>
    <w:p>
      <w:pPr>
        <w:pStyle w:val="0"/>
        <w:spacing w:before="200" w:line-rule="auto"/>
        <w:ind w:firstLine="540"/>
        <w:jc w:val="both"/>
      </w:pPr>
      <w:r>
        <w:rPr>
          <w:sz w:val="20"/>
        </w:rPr>
        <w:t xml:space="preserve">"10.1 Приоритетным методом определения НМЦК при осуществлении закупок подрядных работ по инженерным изысканиям и (или) по подготовке проектной документации является проектно-сметный метод расчета, выполняемый на основании сметных нормативов, включенных в федеральный реестр сметных нормативов.</w:t>
      </w:r>
    </w:p>
    <w:p>
      <w:pPr>
        <w:pStyle w:val="0"/>
        <w:spacing w:before="200" w:line-rule="auto"/>
        <w:ind w:firstLine="540"/>
        <w:jc w:val="both"/>
      </w:pPr>
      <w:r>
        <w:rPr>
          <w:sz w:val="20"/>
        </w:rPr>
        <w:t xml:space="preserve">Применение иных методов, предусмотренных </w:t>
      </w:r>
      <w:hyperlink w:history="0" r:id="rId37" w:tooltip="Федеральный закон от 05.04.2013 N 44-ФЗ (ред. от 14.07.2022)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частью 1 статьи 22</w:t>
        </w:r>
      </w:hyperlink>
      <w:r>
        <w:rPr>
          <w:sz w:val="20"/>
        </w:rPr>
        <w:t xml:space="preserve"> Федерального закона N 44-ФЗ, рекомендуется использовать при отсутствии соответствующих сметных нормативов на проектные работы и (или) инженерные изыскания, включенных в федеральный реестр сметных нормативов.".</w:t>
      </w:r>
    </w:p>
    <w:p>
      <w:pPr>
        <w:pStyle w:val="0"/>
        <w:spacing w:before="200" w:line-rule="auto"/>
        <w:ind w:firstLine="540"/>
        <w:jc w:val="both"/>
      </w:pPr>
      <w:r>
        <w:rPr>
          <w:sz w:val="20"/>
        </w:rPr>
        <w:t xml:space="preserve">2.9. </w:t>
      </w:r>
      <w:hyperlink w:history="0" r:id="rId38" w:tooltip="Приказ Минстроя России от 23.12.2019 N 841/пр (ред. от 25.02.2022) &quot;Об утверждении Порядка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в сфере градостроительной деятельности (за исключением территориального планирования) и Методики составления сметы контракта, предметом которого являются строительство, реконструкция объектов капитального строит ------------ Недействующая редакция {КонсультантПлюс}">
        <w:r>
          <w:rPr>
            <w:sz w:val="20"/>
            <w:color w:val="0000ff"/>
          </w:rPr>
          <w:t xml:space="preserve">Пункты 12</w:t>
        </w:r>
      </w:hyperlink>
      <w:r>
        <w:rPr>
          <w:sz w:val="20"/>
        </w:rPr>
        <w:t xml:space="preserve"> - </w:t>
      </w:r>
      <w:hyperlink w:history="0" r:id="rId39" w:tooltip="Приказ Минстроя России от 23.12.2019 N 841/пр (ред. от 25.02.2022) &quot;Об утверждении Порядка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в сфере градостроительной деятельности (за исключением территориального планирования) и Методики составления сметы контракта, предметом которого являются строительство, реконструкция объектов капитального строит ------------ Недействующая редакция {КонсультантПлюс}">
        <w:r>
          <w:rPr>
            <w:sz w:val="20"/>
            <w:color w:val="0000ff"/>
          </w:rPr>
          <w:t xml:space="preserve">15</w:t>
        </w:r>
      </w:hyperlink>
      <w:r>
        <w:rPr>
          <w:sz w:val="20"/>
        </w:rPr>
        <w:t xml:space="preserve"> изложить в следующей редакции:</w:t>
      </w:r>
    </w:p>
    <w:p>
      <w:pPr>
        <w:pStyle w:val="0"/>
        <w:spacing w:before="200" w:line-rule="auto"/>
        <w:ind w:firstLine="540"/>
        <w:jc w:val="both"/>
      </w:pPr>
      <w:r>
        <w:rPr>
          <w:sz w:val="20"/>
        </w:rPr>
        <w:t xml:space="preserve">"12. НМЦК при осуществлении закупок подрядных работ по инженерным изысканиям и (или) по подготовке проектной документации с составлением расчетов (смет) определяется в следующей последовательности:</w:t>
      </w:r>
    </w:p>
    <w:p>
      <w:pPr>
        <w:pStyle w:val="0"/>
        <w:spacing w:before="200" w:line-rule="auto"/>
        <w:ind w:firstLine="540"/>
        <w:jc w:val="both"/>
      </w:pPr>
      <w:r>
        <w:rPr>
          <w:sz w:val="20"/>
        </w:rPr>
        <w:t xml:space="preserve">а) производится пересчет сметной стоимости работ по инженерным изысканиям и (или) подготовке проектной документации из уровня цен, в котором составлена смета на выполнение работ по инженерным изысканиям и (или) подготовке проектной документации, в уровень цен на дату определения НМЦК с применением индексов фактической инфляции.</w:t>
      </w:r>
    </w:p>
    <w:p>
      <w:pPr>
        <w:pStyle w:val="0"/>
        <w:spacing w:before="200" w:line-rule="auto"/>
        <w:ind w:firstLine="540"/>
        <w:jc w:val="both"/>
      </w:pPr>
      <w:r>
        <w:rPr>
          <w:sz w:val="20"/>
        </w:rPr>
        <w:t xml:space="preserve">Если для определения НМЦК на выполнение подрядных работ по инженерным изысканиям и (или) подготовке проектной документации используется сметная документация, разработанная на основании применяемой на дату определения НМЦК сметно-нормативной базы (за исключением случая формирования сметной документации с учетом установленных федеральным законом и принимаемыми в соответствии с ним законами и иными нормативными правовыми актами субъекта Российской Федерации особенностей ценообразования и сметного нормирования, а также случая формирования сметной документации в уровне цен на дату утверждения проектной документации с применением документов в сфере ценообразования и сметного нормирования в области градостроительной деятельности, которые утверждены органами исполнительной власти субъектов Российской Федерации в порядке, установленном до 3 июля 2016 года в соответствии с </w:t>
      </w:r>
      <w:hyperlink w:history="0" r:id="rId40"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частью 1 статьи 3</w:t>
        </w:r>
      </w:hyperlink>
      <w:r>
        <w:rPr>
          <w:sz w:val="20"/>
        </w:rPr>
        <w:t xml:space="preserve"> Федерального закона N 191-ФЗ), то для пересчета сметной стоимости работ в уровень цен на дату определения НМЦК используются индексы изменения сметной стоимости проектных и изыскательских работ, размещаемые Министерством строительства и жилищно-коммунального хозяйства Российской Федерации в федеральном реестре сметных нормативов в соответствии с </w:t>
      </w:r>
      <w:hyperlink w:history="0" r:id="rId41" w:tooltip="Приказ Минстроя России от 24.10.2017 N 1470/пр &quot;Об утверждении Порядка формирования и ведения федерального реестра сметных нормативов&quot; (Зарегистрировано в Минюсте России 14.05.2018 N 51079) {КонсультантПлюс}">
        <w:r>
          <w:rPr>
            <w:sz w:val="20"/>
            <w:color w:val="0000ff"/>
          </w:rPr>
          <w:t xml:space="preserve">Приказом</w:t>
        </w:r>
      </w:hyperlink>
      <w:r>
        <w:rPr>
          <w:sz w:val="20"/>
        </w:rPr>
        <w:t xml:space="preserve"> Министерства строительства и жилищно-коммунального хозяйства Российской Федерации от 24 октября 2017 г. N 1470/пр и действующие на дату определения НМЦК;</w:t>
      </w:r>
    </w:p>
    <w:p>
      <w:pPr>
        <w:pStyle w:val="0"/>
        <w:spacing w:before="200" w:line-rule="auto"/>
        <w:ind w:firstLine="540"/>
        <w:jc w:val="both"/>
      </w:pPr>
      <w:r>
        <w:rPr>
          <w:sz w:val="20"/>
        </w:rPr>
        <w:t xml:space="preserve">б) производится пересчет стоимости работ по инженерным изысканиям и (или) подготовке проектной документации из уровня цен на дату определения НМЦК в уровень цен периода исполнения контракта с использованием индекса прогнозной инфляции на весь планируемый период исполнения контракта с использованием информации о сроках выполнения работ по инженерным изысканиям и (или) по подготовке проектной документации.</w:t>
      </w:r>
    </w:p>
    <w:p>
      <w:pPr>
        <w:pStyle w:val="0"/>
        <w:spacing w:before="200" w:line-rule="auto"/>
        <w:ind w:firstLine="540"/>
        <w:jc w:val="both"/>
      </w:pPr>
      <w:r>
        <w:rPr>
          <w:sz w:val="20"/>
        </w:rPr>
        <w:t xml:space="preserve">13. НМЦК при осуществлении закупок на выполнение подрядных работ по инженерным изысканиям и (или) по подготовке проектной документации определяется по формуле (1.2):</w:t>
      </w:r>
    </w:p>
    <w:p>
      <w:pPr>
        <w:pStyle w:val="0"/>
        <w:jc w:val="both"/>
      </w:pPr>
      <w:r>
        <w:rPr>
          <w:sz w:val="20"/>
        </w:rPr>
      </w:r>
    </w:p>
    <w:p>
      <w:pPr>
        <w:pStyle w:val="0"/>
        <w:jc w:val="center"/>
      </w:pPr>
      <w:r>
        <w:rPr>
          <w:sz w:val="20"/>
        </w:rPr>
        <w:t xml:space="preserve">Ц</w:t>
      </w:r>
      <w:r>
        <w:rPr>
          <w:sz w:val="20"/>
          <w:vertAlign w:val="subscript"/>
        </w:rPr>
        <w:t xml:space="preserve">пр</w:t>
      </w:r>
      <w:r>
        <w:rPr>
          <w:sz w:val="20"/>
        </w:rPr>
        <w:t xml:space="preserve"> = С</w:t>
      </w:r>
      <w:r>
        <w:rPr>
          <w:sz w:val="20"/>
          <w:vertAlign w:val="subscript"/>
        </w:rPr>
        <w:t xml:space="preserve">пр</w:t>
      </w:r>
      <w:r>
        <w:rPr>
          <w:sz w:val="20"/>
        </w:rPr>
        <w:t xml:space="preserve"> x К</w:t>
      </w:r>
      <w:r>
        <w:rPr>
          <w:sz w:val="20"/>
          <w:vertAlign w:val="subscript"/>
        </w:rPr>
        <w:t xml:space="preserve">инфл</w:t>
      </w:r>
      <w:r>
        <w:rPr>
          <w:sz w:val="20"/>
        </w:rPr>
        <w:t xml:space="preserve"> (1.2)</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Ц</w:t>
      </w:r>
      <w:r>
        <w:rPr>
          <w:sz w:val="20"/>
          <w:vertAlign w:val="subscript"/>
        </w:rPr>
        <w:t xml:space="preserve">пр</w:t>
      </w:r>
      <w:r>
        <w:rPr>
          <w:sz w:val="20"/>
        </w:rPr>
        <w:t xml:space="preserve"> - НМЦК при осуществлении закупок подрядных работ по инженерным изысканиям и (или) по подготовке проектной документации;</w:t>
      </w:r>
    </w:p>
    <w:p>
      <w:pPr>
        <w:pStyle w:val="0"/>
        <w:spacing w:before="200" w:line-rule="auto"/>
        <w:ind w:firstLine="540"/>
        <w:jc w:val="both"/>
      </w:pPr>
      <w:r>
        <w:rPr>
          <w:sz w:val="20"/>
        </w:rPr>
        <w:t xml:space="preserve">С</w:t>
      </w:r>
      <w:r>
        <w:rPr>
          <w:sz w:val="20"/>
          <w:vertAlign w:val="subscript"/>
        </w:rPr>
        <w:t xml:space="preserve">пр</w:t>
      </w:r>
      <w:r>
        <w:rPr>
          <w:sz w:val="20"/>
        </w:rPr>
        <w:t xml:space="preserve"> - стоимость подрядных работ по инженерным изысканиям и (или) подготовке проектной документации, определенная в соответствии с пунктом 10 Порядка и приведенная к уровню цен на дату определения НМЦК;</w:t>
      </w:r>
    </w:p>
    <w:p>
      <w:pPr>
        <w:pStyle w:val="0"/>
        <w:spacing w:before="200" w:line-rule="auto"/>
        <w:ind w:firstLine="540"/>
        <w:jc w:val="both"/>
      </w:pPr>
      <w:r>
        <w:rPr>
          <w:sz w:val="20"/>
        </w:rPr>
        <w:t xml:space="preserve">К</w:t>
      </w:r>
      <w:r>
        <w:rPr>
          <w:sz w:val="20"/>
          <w:vertAlign w:val="subscript"/>
        </w:rPr>
        <w:t xml:space="preserve">инфл</w:t>
      </w:r>
      <w:r>
        <w:rPr>
          <w:sz w:val="20"/>
        </w:rPr>
        <w:t xml:space="preserve"> - индекс прогнозной инфляции, рассчитываемый как среднее арифметическое значение между индексами прогнозной инфляции на даты начала и окончания работ. При расчете индекса прогнозной инфляции определение периода выполнения работ осуществляется исходя из продолжительности, установленной заказчиком в задании на выполнение проектных и изыскательских работ.</w:t>
      </w:r>
    </w:p>
    <w:p>
      <w:pPr>
        <w:pStyle w:val="0"/>
        <w:spacing w:before="200" w:line-rule="auto"/>
        <w:ind w:firstLine="540"/>
        <w:jc w:val="both"/>
      </w:pPr>
      <w:r>
        <w:rPr>
          <w:sz w:val="20"/>
        </w:rPr>
        <w:t xml:space="preserve">В случае, если срок выполнения подрядных работ по инженерным изысканиям и (или) по подготовке проектной документации превышает календарный год, то показатель К</w:t>
      </w:r>
      <w:r>
        <w:rPr>
          <w:sz w:val="20"/>
          <w:vertAlign w:val="subscript"/>
        </w:rPr>
        <w:t xml:space="preserve">инфл</w:t>
      </w:r>
      <w:r>
        <w:rPr>
          <w:sz w:val="20"/>
        </w:rPr>
        <w:t xml:space="preserve"> рассчитывается аналогично порядку, установленному пунктом 23 Порядка.</w:t>
      </w:r>
    </w:p>
    <w:p>
      <w:pPr>
        <w:pStyle w:val="0"/>
        <w:spacing w:before="200" w:line-rule="auto"/>
        <w:ind w:firstLine="540"/>
        <w:jc w:val="both"/>
      </w:pPr>
      <w:r>
        <w:rPr>
          <w:sz w:val="20"/>
        </w:rPr>
        <w:t xml:space="preserve">14. В случае, если объектом одной закупки одновременно является несколько видов подрядных работ на выполнение работ по инженерным изысканиям и (или) по подготовке проектной документации, определение НМЦК при осуществлении таких закупок осуществляется с учетом детализации НМЦК по таким видам работ.</w:t>
      </w:r>
    </w:p>
    <w:p>
      <w:pPr>
        <w:pStyle w:val="0"/>
        <w:spacing w:before="200" w:line-rule="auto"/>
        <w:ind w:firstLine="540"/>
        <w:jc w:val="both"/>
      </w:pPr>
      <w:r>
        <w:rPr>
          <w:sz w:val="20"/>
        </w:rPr>
        <w:t xml:space="preserve">15. Расчет НМЦК на выполнение подрядных работ по инженерным изысканиям и (или) по подготовке проектной документации осуществляется заказчиком в процессе подготовки извещения об осуществлении закупки, документации о закупке (в случае, если Федеральным </w:t>
      </w:r>
      <w:hyperlink w:history="0" r:id="rId42" w:tooltip="Федеральный закон от 05.04.2013 N 44-ФЗ (ред. от 14.07.2022)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N 44-ФЗ предусмотрена документация о закупке) и размещается заказчиком в единой информационной системе в сфере закупок в составе извещения об осуществлении закупки, документации об осуществлении закупки (в случае, если Федеральным </w:t>
      </w:r>
      <w:hyperlink w:history="0" r:id="rId43" w:tooltip="Федеральный закон от 05.04.2013 N 44-ФЗ (ред. от 14.07.2022)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N 44-ФЗ предусмотрена документация о закупке), а при осуществлении закупки у единственного поставщика (подрядчика, исполнителя) - при подготовке проекта контракта. Рекомендуемый образец оформления такого расчета приведен в Приложении N 2 к Порядку.</w:t>
      </w:r>
    </w:p>
    <w:p>
      <w:pPr>
        <w:pStyle w:val="0"/>
        <w:spacing w:before="200" w:line-rule="auto"/>
        <w:ind w:firstLine="540"/>
        <w:jc w:val="both"/>
      </w:pPr>
      <w:r>
        <w:rPr>
          <w:sz w:val="20"/>
        </w:rPr>
        <w:t xml:space="preserve">В случае, если при расчете НМЦК, выполнение которого необходимо для осуществления закупок, предметом которых является выполнение работ по инженерным изысканиям и (или) по подготовке проектной документации за счет средств бюджета субъекта Российской Федерации, для пересчета сметной стоимости строительства из уровня цен на дату утверждения проектной документации в уровень цен на дату определения НМЦК применялась официальная статистическая информация об индексах цен на продукцию (затраты, услуги) инвестиционного назначения по видам экономической деятельности (строительство), публикуемая Федеральной службой государственной статистики для соответствующего периода или индексах фактической инфляции (при наличии), установленных уполномоченными органами исполнительной власти субъектов Российской Федерации, индекс фактической инфляции указывается в графе 3 Приложения N 2 к Порядку. При этом к такому расчету прилагаются документы, на основании которых он выполнен.".</w:t>
      </w:r>
    </w:p>
    <w:p>
      <w:pPr>
        <w:pStyle w:val="0"/>
        <w:spacing w:before="200" w:line-rule="auto"/>
        <w:ind w:firstLine="540"/>
        <w:jc w:val="both"/>
      </w:pPr>
      <w:r>
        <w:rPr>
          <w:sz w:val="20"/>
        </w:rPr>
        <w:t xml:space="preserve">2.10. В </w:t>
      </w:r>
      <w:hyperlink w:history="0" r:id="rId44" w:tooltip="Приказ Минстроя России от 23.12.2019 N 841/пр (ред. от 25.02.2022) &quot;Об утверждении Порядка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в сфере градостроительной деятельности (за исключением территориального планирования) и Методики составления сметы контракта, предметом которого являются строительство, реконструкция объектов капитального строит ------------ Недействующая редакция {КонсультантПлюс}">
        <w:r>
          <w:rPr>
            <w:sz w:val="20"/>
            <w:color w:val="0000ff"/>
          </w:rPr>
          <w:t xml:space="preserve">пункте 16</w:t>
        </w:r>
      </w:hyperlink>
      <w:r>
        <w:rPr>
          <w:sz w:val="20"/>
        </w:rPr>
        <w:t xml:space="preserve">:</w:t>
      </w:r>
    </w:p>
    <w:p>
      <w:pPr>
        <w:pStyle w:val="0"/>
        <w:spacing w:before="200" w:line-rule="auto"/>
        <w:ind w:firstLine="540"/>
        <w:jc w:val="both"/>
      </w:pPr>
      <w:r>
        <w:rPr>
          <w:sz w:val="20"/>
        </w:rPr>
        <w:t xml:space="preserve">в </w:t>
      </w:r>
      <w:hyperlink w:history="0" r:id="rId45" w:tooltip="Приказ Минстроя России от 23.12.2019 N 841/пр (ред. от 25.02.2022) &quot;Об утверждении Порядка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в сфере градостроительной деятельности (за исключением территориального планирования) и Методики составления сметы контракта, предметом которого являются строительство, реконструкция объектов капитального строит ------------ Недействующая редакция {КонсультантПлюс}">
        <w:r>
          <w:rPr>
            <w:sz w:val="20"/>
            <w:color w:val="0000ff"/>
          </w:rPr>
          <w:t xml:space="preserve">абзаце первом</w:t>
        </w:r>
      </w:hyperlink>
      <w:r>
        <w:rPr>
          <w:sz w:val="20"/>
        </w:rPr>
        <w:t xml:space="preserve"> слова ", в том числе по составлению проекта сметы контракта" исключить;</w:t>
      </w:r>
    </w:p>
    <w:p>
      <w:pPr>
        <w:pStyle w:val="0"/>
        <w:spacing w:before="200" w:line-rule="auto"/>
        <w:ind w:firstLine="540"/>
        <w:jc w:val="both"/>
      </w:pPr>
      <w:r>
        <w:rPr>
          <w:sz w:val="20"/>
        </w:rPr>
        <w:t xml:space="preserve">в </w:t>
      </w:r>
      <w:hyperlink w:history="0" r:id="rId46" w:tooltip="Приказ Минстроя России от 23.12.2019 N 841/пр (ред. от 25.02.2022) &quot;Об утверждении Порядка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в сфере градостроительной деятельности (за исключением территориального планирования) и Методики составления сметы контракта, предметом которого являются строительство, реконструкция объектов капитального строит ------------ Недействующая редакция {КонсультантПлюс}">
        <w:r>
          <w:rPr>
            <w:sz w:val="20"/>
            <w:color w:val="0000ff"/>
          </w:rPr>
          <w:t xml:space="preserve">подпункте "б"</w:t>
        </w:r>
      </w:hyperlink>
      <w:r>
        <w:rPr>
          <w:sz w:val="20"/>
        </w:rPr>
        <w:t xml:space="preserve"> слово "определение." заменить словом "определения;";</w:t>
      </w:r>
    </w:p>
    <w:p>
      <w:pPr>
        <w:pStyle w:val="0"/>
        <w:spacing w:before="200" w:line-rule="auto"/>
        <w:ind w:firstLine="540"/>
        <w:jc w:val="both"/>
      </w:pPr>
      <w:hyperlink w:history="0" r:id="rId47" w:tooltip="Приказ Минстроя России от 23.12.2019 N 841/пр (ред. от 25.02.2022) &quot;Об утверждении Порядка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в сфере градостроительной деятельности (за исключением территориального планирования) и Методики составления сметы контракта, предметом которого являются строительство, реконструкция объектов капитального строит ------------ Недействующая редакция {КонсультантПлюс}">
        <w:r>
          <w:rPr>
            <w:sz w:val="20"/>
            <w:color w:val="0000ff"/>
          </w:rPr>
          <w:t xml:space="preserve">дополнить</w:t>
        </w:r>
      </w:hyperlink>
      <w:r>
        <w:rPr>
          <w:sz w:val="20"/>
        </w:rPr>
        <w:t xml:space="preserve"> подпунктом "в" следующего содержания:</w:t>
      </w:r>
    </w:p>
    <w:p>
      <w:pPr>
        <w:pStyle w:val="0"/>
        <w:spacing w:before="200" w:line-rule="auto"/>
        <w:ind w:firstLine="540"/>
        <w:jc w:val="both"/>
      </w:pPr>
      <w:r>
        <w:rPr>
          <w:sz w:val="20"/>
        </w:rPr>
        <w:t xml:space="preserve">"в) на основании утвержденной заказчиком сметы (сводки) затрат, связанных с выполнением функций технического заказчика (разработанной в соответствии со сметными нормативами, сведения о которых включены в федеральный реестр сметных нормативов), в случае если на дату определения НМЦК при осуществлении закупок услуг по исполнению функций технического заказчика отсутствует утвержденная заказчиком проектная документация.".</w:t>
      </w:r>
    </w:p>
    <w:p>
      <w:pPr>
        <w:pStyle w:val="0"/>
        <w:spacing w:before="200" w:line-rule="auto"/>
        <w:ind w:firstLine="540"/>
        <w:jc w:val="both"/>
      </w:pPr>
      <w:r>
        <w:rPr>
          <w:sz w:val="20"/>
        </w:rPr>
        <w:t xml:space="preserve">2.11. </w:t>
      </w:r>
      <w:hyperlink w:history="0" r:id="rId48" w:tooltip="Приказ Минстроя России от 23.12.2019 N 841/пр (ред. от 25.02.2022) &quot;Об утверждении Порядка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в сфере градостроительной деятельности (за исключением территориального планирования) и Методики составления сметы контракта, предметом которого являются строительство, реконструкция объектов капитального строит ------------ Недействующая редакция {КонсультантПлюс}">
        <w:r>
          <w:rPr>
            <w:sz w:val="20"/>
            <w:color w:val="0000ff"/>
          </w:rPr>
          <w:t xml:space="preserve">Пункты 18</w:t>
        </w:r>
      </w:hyperlink>
      <w:r>
        <w:rPr>
          <w:sz w:val="20"/>
        </w:rPr>
        <w:t xml:space="preserve"> и </w:t>
      </w:r>
      <w:hyperlink w:history="0" r:id="rId49" w:tooltip="Приказ Минстроя России от 23.12.2019 N 841/пр (ред. от 25.02.2022) &quot;Об утверждении Порядка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в сфере градостроительной деятельности (за исключением территориального планирования) и Методики составления сметы контракта, предметом которого являются строительство, реконструкция объектов капитального строит ------------ Недействующая редакция {КонсультантПлюс}">
        <w:r>
          <w:rPr>
            <w:sz w:val="20"/>
            <w:color w:val="0000ff"/>
          </w:rPr>
          <w:t xml:space="preserve">19</w:t>
        </w:r>
      </w:hyperlink>
      <w:r>
        <w:rPr>
          <w:sz w:val="20"/>
        </w:rPr>
        <w:t xml:space="preserve"> изложить в следующей редакции:</w:t>
      </w:r>
    </w:p>
    <w:p>
      <w:pPr>
        <w:pStyle w:val="0"/>
        <w:spacing w:before="200" w:line-rule="auto"/>
        <w:ind w:firstLine="540"/>
        <w:jc w:val="both"/>
      </w:pPr>
      <w:r>
        <w:rPr>
          <w:sz w:val="20"/>
        </w:rPr>
        <w:t xml:space="preserve">"18. НМЦК при осуществлении закупок услуг по исполнению функций технического заказчика определяется в следующей последовательности:</w:t>
      </w:r>
    </w:p>
    <w:p>
      <w:pPr>
        <w:pStyle w:val="0"/>
        <w:spacing w:before="200" w:line-rule="auto"/>
        <w:ind w:firstLine="540"/>
        <w:jc w:val="both"/>
      </w:pPr>
      <w:r>
        <w:rPr>
          <w:sz w:val="20"/>
        </w:rPr>
        <w:t xml:space="preserve">а) производится пересчет сметной стоимости работ и услуг, осуществляемых техническим заказчиком, из уровня цен на дату утверждения проектной документации в уровень цен на дату определения НМЦК при осуществлении закупок услуг по исполнению функций технического заказчика с применением индексов фактической инфляции за соответствующий период;</w:t>
      </w:r>
    </w:p>
    <w:p>
      <w:pPr>
        <w:pStyle w:val="0"/>
        <w:spacing w:before="200" w:line-rule="auto"/>
        <w:ind w:firstLine="540"/>
        <w:jc w:val="both"/>
      </w:pPr>
      <w:r>
        <w:rPr>
          <w:sz w:val="20"/>
        </w:rPr>
        <w:t xml:space="preserve">б) показатели сметной стоимости услуг, осуществляемых техническим заказчиком, определенные в уровне цен на дату определения НМЦК, умножаются на индекс прогнозной инфляции на период оказания услуг (выполнения работ).</w:t>
      </w:r>
    </w:p>
    <w:p>
      <w:pPr>
        <w:pStyle w:val="0"/>
        <w:spacing w:before="200" w:line-rule="auto"/>
        <w:ind w:firstLine="540"/>
        <w:jc w:val="both"/>
      </w:pPr>
      <w:r>
        <w:rPr>
          <w:sz w:val="20"/>
        </w:rPr>
        <w:t xml:space="preserve">Индекс прогнозной инфляции на период оказания услуг (выполнения работ) рассчитывается как среднее арифметическое значение между индексами прогнозной инфляции на дату начала и дату окончания оказания услуг (работ), определенных с учетом срока оказания услуг (выполнения работ), в соответствии с проектной документацией.</w:t>
      </w:r>
    </w:p>
    <w:p>
      <w:pPr>
        <w:pStyle w:val="0"/>
        <w:spacing w:before="200" w:line-rule="auto"/>
        <w:ind w:firstLine="540"/>
        <w:jc w:val="both"/>
      </w:pPr>
      <w:r>
        <w:rPr>
          <w:sz w:val="20"/>
        </w:rPr>
        <w:t xml:space="preserve">В случаях, если НМЦК определяется до разработки проектной документации, при расчете индекса прогнозной инфляции определение периода выполнения работ (оказания услуг) осуществляется, как правило, исходя из продолжительности строительства, установленной заказчиком в задании на выполнение работ.</w:t>
      </w:r>
    </w:p>
    <w:p>
      <w:pPr>
        <w:pStyle w:val="0"/>
        <w:spacing w:before="200" w:line-rule="auto"/>
        <w:ind w:firstLine="540"/>
        <w:jc w:val="both"/>
      </w:pPr>
      <w:r>
        <w:rPr>
          <w:sz w:val="20"/>
        </w:rPr>
        <w:t xml:space="preserve">19. Расчет НМЦК при осуществлении закупок услуг по исполнению функций технического заказчика осуществляется заказчиком в процессе подготовки извещения об осуществлении закупки, документации о закупке (в случае, если Федеральным </w:t>
      </w:r>
      <w:hyperlink w:history="0" r:id="rId50" w:tooltip="Федеральный закон от 05.04.2013 N 44-ФЗ (ред. от 14.07.2022)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N 44-ФЗ предусмотрена документация о закупке) и размещается заказчиком в единой информационной системе в сфере закупок в составе извещения об осуществлении закупки, документации об осуществлении закупки (в случае, если Федеральным </w:t>
      </w:r>
      <w:hyperlink w:history="0" r:id="rId51" w:tooltip="Федеральный закон от 05.04.2013 N 44-ФЗ (ред. от 14.07.2022)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N 44-ФЗ предусмотрена документация о закупке), а при осуществлении закупки у единственного поставщика (подрядчика, исполнителя) - при подготовке проекта контракта. К данному расчету прилагаются документы, на основании которых выполнен расчет НМЦК при осуществлении закупок по исполнению функций технического заказчика. Рекомендуемый образец такого расчета приведен в Приложении N 3 к Порядку.".</w:t>
      </w:r>
    </w:p>
    <w:p>
      <w:pPr>
        <w:pStyle w:val="0"/>
        <w:spacing w:before="200" w:line-rule="auto"/>
        <w:ind w:firstLine="540"/>
        <w:jc w:val="both"/>
      </w:pPr>
      <w:r>
        <w:rPr>
          <w:sz w:val="20"/>
        </w:rPr>
        <w:t xml:space="preserve">2.12. </w:t>
      </w:r>
      <w:hyperlink w:history="0" r:id="rId52" w:tooltip="Приказ Минстроя России от 23.12.2019 N 841/пр (ред. от 25.02.2022) &quot;Об утверждении Порядка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в сфере градостроительной деятельности (за исключением территориального планирования) и Методики составления сметы контракта, предметом которого являются строительство, реконструкция объектов капитального строит ------------ Недействующая редакция {КонсультантПлюс}">
        <w:r>
          <w:rPr>
            <w:sz w:val="20"/>
            <w:color w:val="0000ff"/>
          </w:rPr>
          <w:t xml:space="preserve">Пункт 22</w:t>
        </w:r>
      </w:hyperlink>
      <w:r>
        <w:rPr>
          <w:sz w:val="20"/>
        </w:rPr>
        <w:t xml:space="preserve"> изложить в следующей редакции:</w:t>
      </w:r>
    </w:p>
    <w:p>
      <w:pPr>
        <w:pStyle w:val="0"/>
        <w:spacing w:before="200" w:line-rule="auto"/>
        <w:ind w:firstLine="540"/>
        <w:jc w:val="both"/>
      </w:pPr>
      <w:r>
        <w:rPr>
          <w:sz w:val="20"/>
        </w:rPr>
        <w:t xml:space="preserve">"22. НМЦК на выполнение подрядных работ по строительству, реконструкции, капитальному ремонту, сносу объектов капитального строительства, работ по сохранению объектов культурного наследия (памятников истории и культуры) народов Российской Федерации, а также строительству некапитальных строений и сооружений определяется в следующем порядке:</w:t>
      </w:r>
    </w:p>
    <w:p>
      <w:pPr>
        <w:pStyle w:val="0"/>
        <w:spacing w:before="200" w:line-rule="auto"/>
        <w:ind w:firstLine="540"/>
        <w:jc w:val="both"/>
      </w:pPr>
      <w:r>
        <w:rPr>
          <w:sz w:val="20"/>
        </w:rPr>
        <w:t xml:space="preserve">а) производится пересчет сметной стоимости подрядных работ из уровня цен на дату утверждения проектной документации в уровень цен на дату определения НМЦК на выполнение подрядных работ с применением индексов фактической инфляции за соответствующий период с учетом положений подпункта "а" пункта 8 Порядка;</w:t>
      </w:r>
    </w:p>
    <w:p>
      <w:pPr>
        <w:pStyle w:val="0"/>
        <w:spacing w:before="200" w:line-rule="auto"/>
        <w:ind w:firstLine="540"/>
        <w:jc w:val="both"/>
      </w:pPr>
      <w:r>
        <w:rPr>
          <w:sz w:val="20"/>
        </w:rPr>
        <w:t xml:space="preserve">б) показатели сметной стоимости подрядных работ по главам сводного сметного расчета стоимости строительства в текущем уровне цен умножаются на индекс прогнозной инфляции на период строительства. Индекс прогнозной инфляции на период строительства рассчитывается как среднее арифметическое значение между индексами прогнозной инфляции на даты начала и окончания работ с учетом срока выполнения работ в соответствии с проектной документацией.</w:t>
      </w:r>
    </w:p>
    <w:p>
      <w:pPr>
        <w:pStyle w:val="0"/>
        <w:spacing w:before="200" w:line-rule="auto"/>
        <w:ind w:firstLine="540"/>
        <w:jc w:val="both"/>
      </w:pPr>
      <w:r>
        <w:rPr>
          <w:sz w:val="20"/>
        </w:rPr>
        <w:t xml:space="preserve">При расчете индекса прогнозной инфляции определение периода выполнения работ осуществляется исходя из продолжительности строительства, определенной в соответствии с проектной документацией.".</w:t>
      </w:r>
    </w:p>
    <w:p>
      <w:pPr>
        <w:pStyle w:val="0"/>
        <w:spacing w:before="200" w:line-rule="auto"/>
        <w:ind w:firstLine="540"/>
        <w:jc w:val="both"/>
      </w:pPr>
      <w:r>
        <w:rPr>
          <w:sz w:val="20"/>
        </w:rPr>
        <w:t xml:space="preserve">2.13. </w:t>
      </w:r>
      <w:hyperlink w:history="0" r:id="rId53" w:tooltip="Приказ Минстроя России от 23.12.2019 N 841/пр (ред. от 25.02.2022) &quot;Об утверждении Порядка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в сфере градостроительной деятельности (за исключением территориального планирования) и Методики составления сметы контракта, предметом которого являются строительство, реконструкция объектов капитального строит ------------ Недействующая редакция {КонсультантПлюс}">
        <w:r>
          <w:rPr>
            <w:sz w:val="20"/>
            <w:color w:val="0000ff"/>
          </w:rPr>
          <w:t xml:space="preserve">Пункт 23</w:t>
        </w:r>
      </w:hyperlink>
      <w:r>
        <w:rPr>
          <w:sz w:val="20"/>
        </w:rPr>
        <w:t xml:space="preserve"> дополнить абзацем следующего содержания:</w:t>
      </w:r>
    </w:p>
    <w:p>
      <w:pPr>
        <w:pStyle w:val="0"/>
        <w:spacing w:before="200" w:line-rule="auto"/>
        <w:ind w:firstLine="540"/>
        <w:jc w:val="both"/>
      </w:pPr>
      <w:r>
        <w:rPr>
          <w:sz w:val="20"/>
        </w:rPr>
        <w:t xml:space="preserve">"Индекс прогнозной инфляции на один месяц определяется по формуле (1), приведенной в подпункте "б" пункта 8 Порядка.".</w:t>
      </w:r>
    </w:p>
    <w:p>
      <w:pPr>
        <w:pStyle w:val="0"/>
        <w:spacing w:before="200" w:line-rule="auto"/>
        <w:ind w:firstLine="540"/>
        <w:jc w:val="both"/>
      </w:pPr>
      <w:r>
        <w:rPr>
          <w:sz w:val="20"/>
        </w:rPr>
        <w:t xml:space="preserve">2.14. </w:t>
      </w:r>
      <w:hyperlink w:history="0" r:id="rId54" w:tooltip="Приказ Минстроя России от 23.12.2019 N 841/пр (ред. от 25.02.2022) &quot;Об утверждении Порядка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в сфере градостроительной деятельности (за исключением территориального планирования) и Методики составления сметы контракта, предметом которого являются строительство, реконструкция объектов капитального строит ------------ Недействующая редакция {КонсультантПлюс}">
        <w:r>
          <w:rPr>
            <w:sz w:val="20"/>
            <w:color w:val="0000ff"/>
          </w:rPr>
          <w:t xml:space="preserve">Пункт 24</w:t>
        </w:r>
      </w:hyperlink>
      <w:r>
        <w:rPr>
          <w:sz w:val="20"/>
        </w:rPr>
        <w:t xml:space="preserve"> изложить в следующей редакции:</w:t>
      </w:r>
    </w:p>
    <w:p>
      <w:pPr>
        <w:pStyle w:val="0"/>
        <w:spacing w:before="200" w:line-rule="auto"/>
        <w:ind w:firstLine="540"/>
        <w:jc w:val="both"/>
      </w:pPr>
      <w:r>
        <w:rPr>
          <w:sz w:val="20"/>
        </w:rPr>
        <w:t xml:space="preserve">"24. Расчет НМЦК на выполнение подрядных работ по строительству, реконструкции, капитальному ремонту, сносу объектов капитального строительства, работ по сохранению объектов культурного наследия (памятников истории и культуры) народов Российской Федерации, а также строительству некапитальных строений и сооружений осуществляется заказчиком в процессе подготовки извещения об осуществлении закупки, документации о закупке (в случае, если Федеральным </w:t>
      </w:r>
      <w:hyperlink w:history="0" r:id="rId55" w:tooltip="Федеральный закон от 05.04.2013 N 44-ФЗ (ред. от 14.07.2022)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N 44-ФЗ предусмотрена документация о закупке) и размещается заказчиком в единой информационной системе в сфере закупок в составе извещения об осуществлении закупки, документации об осуществлении закупки (в случае, если Федеральным </w:t>
      </w:r>
      <w:hyperlink w:history="0" r:id="rId56" w:tooltip="Федеральный закон от 05.04.2013 N 44-ФЗ (ред. от 14.07.2022)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N 44-ФЗ предусмотрена документация о закупке), а при осуществлении закупки у единственного поставщика (подрядчика, исполнителя) - при подготовке проекта контракта. Рекомендуемый образец такого расчета приведен в Приложении N 4 к Порядку. При этом группировка работ и затрат для расчета НМЦК определяется заказчиком самостоятельно.</w:t>
      </w:r>
    </w:p>
    <w:p>
      <w:pPr>
        <w:pStyle w:val="0"/>
        <w:spacing w:before="200" w:line-rule="auto"/>
        <w:ind w:firstLine="540"/>
        <w:jc w:val="both"/>
      </w:pPr>
      <w:r>
        <w:rPr>
          <w:sz w:val="20"/>
        </w:rPr>
        <w:t xml:space="preserve">В случае, если при расчете НМЦК, выполнение которого необходимо для осуществления закупок по выполнению подрядных работ за счет средств бюджета субъекта Российской Федерации, для пересчета сметной стоимости строительства из уровня цен на дату утверждения проектной документации в уровень цен на дату определения НМЦК применялась официальная статистическая информация об индексах цен на продукцию (затраты, услуги) инвестиционного назначения по видам экономической деятельности (строительство), публикуемая Федеральной службой государственной статистики для соответствующего периода или индексах фактической инфляции (при наличии), установленных уполномоченными органами исполнительной власти субъектов Российской Федерации, индекс фактической инфляции указывается в графе 3 Приложения N 4 к Порядку. При этом к такому расчету прилагаются документы, на основании которых он выполнен.".</w:t>
      </w:r>
    </w:p>
    <w:p>
      <w:pPr>
        <w:pStyle w:val="0"/>
        <w:spacing w:before="200" w:line-rule="auto"/>
        <w:ind w:firstLine="540"/>
        <w:jc w:val="both"/>
      </w:pPr>
      <w:r>
        <w:rPr>
          <w:sz w:val="20"/>
        </w:rPr>
        <w:t xml:space="preserve">2.15. В </w:t>
      </w:r>
      <w:hyperlink w:history="0" r:id="rId57" w:tooltip="Приказ Минстроя России от 23.12.2019 N 841/пр (ред. от 25.02.2022) &quot;Об утверждении Порядка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в сфере градостроительной деятельности (за исключением территориального планирования) и Методики составления сметы контракта, предметом которого являются строительство, реконструкция объектов капитального строит ------------ Недействующая редакция {КонсультантПлюс}">
        <w:r>
          <w:rPr>
            <w:sz w:val="20"/>
            <w:color w:val="0000ff"/>
          </w:rPr>
          <w:t xml:space="preserve">пункте 25</w:t>
        </w:r>
      </w:hyperlink>
      <w:r>
        <w:rPr>
          <w:sz w:val="20"/>
        </w:rPr>
        <w:t xml:space="preserve">:</w:t>
      </w:r>
    </w:p>
    <w:p>
      <w:pPr>
        <w:pStyle w:val="0"/>
        <w:spacing w:before="200" w:line-rule="auto"/>
        <w:ind w:firstLine="540"/>
        <w:jc w:val="both"/>
      </w:pPr>
      <w:hyperlink w:history="0" r:id="rId58" w:tooltip="Приказ Минстроя России от 23.12.2019 N 841/пр (ред. от 25.02.2022) &quot;Об утверждении Порядка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в сфере градостроительной деятельности (за исключением территориального планирования) и Методики составления сметы контракта, предметом которого являются строительство, реконструкция объектов капитального строит ------------ Недействующая редакция {КонсультантПлюс}">
        <w:r>
          <w:rPr>
            <w:sz w:val="20"/>
            <w:color w:val="0000ff"/>
          </w:rPr>
          <w:t xml:space="preserve">абзац первый</w:t>
        </w:r>
      </w:hyperlink>
      <w:r>
        <w:rPr>
          <w:sz w:val="20"/>
        </w:rPr>
        <w:t xml:space="preserve"> после слов ", остатки услуг (работ)," дополнить словами "в случае, если формирование сметы контракта осуществлялось с использованием сметных нормативов, включенных в федеральный реестр сметных нормативов,";</w:t>
      </w:r>
    </w:p>
    <w:p>
      <w:pPr>
        <w:pStyle w:val="0"/>
        <w:spacing w:before="200" w:line-rule="auto"/>
        <w:ind w:firstLine="540"/>
        <w:jc w:val="both"/>
      </w:pPr>
      <w:hyperlink w:history="0" r:id="rId59" w:tooltip="Приказ Минстроя России от 23.12.2019 N 841/пр (ред. от 25.02.2022) &quot;Об утверждении Порядка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в сфере градостроительной деятельности (за исключением территориального планирования) и Методики составления сметы контракта, предметом которого являются строительство, реконструкция объектов капитального строит ------------ Недействующая редакция {КонсультантПлюс}">
        <w:r>
          <w:rPr>
            <w:sz w:val="20"/>
            <w:color w:val="0000ff"/>
          </w:rPr>
          <w:t xml:space="preserve">абзацы пятый</w:t>
        </w:r>
      </w:hyperlink>
      <w:r>
        <w:rPr>
          <w:sz w:val="20"/>
        </w:rPr>
        <w:t xml:space="preserve"> и </w:t>
      </w:r>
      <w:hyperlink w:history="0" r:id="rId60" w:tooltip="Приказ Минстроя России от 23.12.2019 N 841/пр (ред. от 25.02.2022) &quot;Об утверждении Порядка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в сфере градостроительной деятельности (за исключением территориального планирования) и Методики составления сметы контракта, предметом которого являются строительство, реконструкция объектов капитального строит ------------ Недействующая редакция {КонсультантПлюс}">
        <w:r>
          <w:rPr>
            <w:sz w:val="20"/>
            <w:color w:val="0000ff"/>
          </w:rPr>
          <w:t xml:space="preserve">шестой</w:t>
        </w:r>
      </w:hyperlink>
      <w:r>
        <w:rPr>
          <w:sz w:val="20"/>
        </w:rPr>
        <w:t xml:space="preserve"> изложить в следующей редакции:</w:t>
      </w:r>
    </w:p>
    <w:p>
      <w:pPr>
        <w:pStyle w:val="0"/>
        <w:spacing w:before="200" w:line-rule="auto"/>
        <w:ind w:firstLine="540"/>
        <w:jc w:val="both"/>
      </w:pPr>
      <w:r>
        <w:rPr>
          <w:sz w:val="20"/>
        </w:rPr>
        <w:t xml:space="preserve">"С</w:t>
      </w:r>
      <w:r>
        <w:rPr>
          <w:sz w:val="20"/>
          <w:vertAlign w:val="subscript"/>
        </w:rPr>
        <w:t xml:space="preserve">ост</w:t>
      </w:r>
      <w:r>
        <w:rPr>
          <w:sz w:val="20"/>
        </w:rPr>
        <w:t xml:space="preserve"> - сметная стоимость остатков услуг (работ) в уровне цен на дату утверждения заказчиком сметной документации, разработанной в составе проектной документации, получившей положительное заключение государственной экспертизы проектной документации;</w:t>
      </w:r>
    </w:p>
    <w:p>
      <w:pPr>
        <w:pStyle w:val="0"/>
        <w:spacing w:before="200" w:line-rule="auto"/>
        <w:ind w:firstLine="540"/>
        <w:jc w:val="both"/>
      </w:pPr>
      <w:r>
        <w:rPr>
          <w:sz w:val="20"/>
        </w:rPr>
        <w:t xml:space="preserve">К</w:t>
      </w:r>
      <w:r>
        <w:rPr>
          <w:sz w:val="20"/>
          <w:vertAlign w:val="subscript"/>
        </w:rPr>
        <w:t xml:space="preserve">1</w:t>
      </w:r>
      <w:r>
        <w:rPr>
          <w:sz w:val="20"/>
        </w:rPr>
        <w:t xml:space="preserve"> - индекс фактической инфляции на дату определения НМЦК на остатки услуг (работ).</w:t>
      </w:r>
    </w:p>
    <w:p>
      <w:pPr>
        <w:pStyle w:val="0"/>
        <w:spacing w:before="200" w:line-rule="auto"/>
        <w:ind w:firstLine="540"/>
        <w:jc w:val="both"/>
      </w:pPr>
      <w:r>
        <w:rPr>
          <w:sz w:val="20"/>
        </w:rPr>
        <w:t xml:space="preserve">Если для определения НМЦК используется сметная документация, разработанная на основании применяемой на дату определения НМЦК сметно-нормативной базы (за исключением случая формирования сметной документации с учетом установленных федеральным законом и принимаемыми в соответствии с ними законами и иными нормативными правовыми актами субъекта Российской Федерации особенностей ценообразования и сметного нормирования, а также случая формирования сметной документации в уровне цен на дату утверждения проектной документации с применением документов в сфере ценообразования и сметного нормирования в области градостроительной деятельности, которые утверждены органами исполнительной власти субъектов Российской Федерации в порядке, установленном до 3 июля 2016 года в соответствии с </w:t>
      </w:r>
      <w:hyperlink w:history="0" r:id="rId61"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частью 1 статьи 3</w:t>
        </w:r>
      </w:hyperlink>
      <w:r>
        <w:rPr>
          <w:sz w:val="20"/>
        </w:rPr>
        <w:t xml:space="preserve"> Федерального закона N 191-ФЗ), то для пересчета сметной стоимости остатков услуг (работ) в уровень цен на дату определения НМЦК используются индексы изменения сметной стоимости строительства, сведения о которых размещены Министерством строительства и жилищно-коммунального хозяйства Российской Федерации в федеральном реестре сметных нормативов и действующие на дату определения НМЦК.";</w:t>
      </w:r>
    </w:p>
    <w:p>
      <w:pPr>
        <w:pStyle w:val="0"/>
        <w:spacing w:before="200" w:line-rule="auto"/>
        <w:ind w:firstLine="540"/>
        <w:jc w:val="both"/>
      </w:pPr>
      <w:r>
        <w:rPr>
          <w:sz w:val="20"/>
        </w:rPr>
        <w:t xml:space="preserve">в </w:t>
      </w:r>
      <w:hyperlink w:history="0" r:id="rId62" w:tooltip="Приказ Минстроя России от 23.12.2019 N 841/пр (ред. от 25.02.2022) &quot;Об утверждении Порядка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в сфере градостроительной деятельности (за исключением территориального планирования) и Методики составления сметы контракта, предметом которого являются строительство, реконструкция объектов капитального строит ------------ Недействующая редакция {КонсультантПлюс}">
        <w:r>
          <w:rPr>
            <w:sz w:val="20"/>
            <w:color w:val="0000ff"/>
          </w:rPr>
          <w:t xml:space="preserve">абзаце седьмом</w:t>
        </w:r>
      </w:hyperlink>
      <w:r>
        <w:rPr>
          <w:sz w:val="20"/>
        </w:rPr>
        <w:t xml:space="preserve"> слова "на основании проекта организации строительства" исключить.</w:t>
      </w:r>
    </w:p>
    <w:p>
      <w:pPr>
        <w:pStyle w:val="0"/>
        <w:spacing w:before="200" w:line-rule="auto"/>
        <w:ind w:firstLine="540"/>
        <w:jc w:val="both"/>
      </w:pPr>
      <w:r>
        <w:rPr>
          <w:sz w:val="20"/>
        </w:rPr>
        <w:t xml:space="preserve">2.16. </w:t>
      </w:r>
      <w:hyperlink w:history="0" r:id="rId63" w:tooltip="Приказ Минстроя России от 23.12.2019 N 841/пр (ред. от 25.02.2022) &quot;Об утверждении Порядка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в сфере градостроительной деятельности (за исключением территориального планирования) и Методики составления сметы контракта, предметом которого являются строительство, реконструкция объектов капитального строит ------------ Недействующая редакция {КонсультантПлюс}">
        <w:r>
          <w:rPr>
            <w:sz w:val="20"/>
            <w:color w:val="0000ff"/>
          </w:rPr>
          <w:t xml:space="preserve">Абзацы первый</w:t>
        </w:r>
      </w:hyperlink>
      <w:r>
        <w:rPr>
          <w:sz w:val="20"/>
        </w:rPr>
        <w:t xml:space="preserve"> - </w:t>
      </w:r>
      <w:hyperlink w:history="0" r:id="rId64" w:tooltip="Приказ Минстроя России от 23.12.2019 N 841/пр (ред. от 25.02.2022) &quot;Об утверждении Порядка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в сфере градостроительной деятельности (за исключением территориального планирования) и Методики составления сметы контракта, предметом которого являются строительство, реконструкция объектов капитального строит ------------ Недействующая редакция {КонсультантПлюс}">
        <w:r>
          <w:rPr>
            <w:sz w:val="20"/>
            <w:color w:val="0000ff"/>
          </w:rPr>
          <w:t xml:space="preserve">шестой пункта 26</w:t>
        </w:r>
      </w:hyperlink>
      <w:r>
        <w:rPr>
          <w:sz w:val="20"/>
        </w:rPr>
        <w:t xml:space="preserve"> изложить в следующей редакции:</w:t>
      </w:r>
    </w:p>
    <w:p>
      <w:pPr>
        <w:pStyle w:val="0"/>
        <w:spacing w:before="200" w:line-rule="auto"/>
        <w:ind w:firstLine="540"/>
        <w:jc w:val="both"/>
      </w:pPr>
      <w:r>
        <w:rPr>
          <w:sz w:val="20"/>
        </w:rPr>
        <w:t xml:space="preserve">"26. Сметная стоимость остатков услуг (работ) в уровне цен на дату утверждения проектной документации, получившей положительное заключение государственной экспертизы проектной документации (С</w:t>
      </w:r>
      <w:r>
        <w:rPr>
          <w:sz w:val="20"/>
          <w:vertAlign w:val="subscript"/>
        </w:rPr>
        <w:t xml:space="preserve">ост</w:t>
      </w:r>
      <w:r>
        <w:rPr>
          <w:sz w:val="20"/>
        </w:rPr>
        <w:t xml:space="preserve">), определяется по формуле (4):</w:t>
      </w:r>
    </w:p>
    <w:p>
      <w:pPr>
        <w:pStyle w:val="0"/>
        <w:jc w:val="both"/>
      </w:pPr>
      <w:r>
        <w:rPr>
          <w:sz w:val="20"/>
        </w:rPr>
      </w:r>
    </w:p>
    <w:p>
      <w:pPr>
        <w:pStyle w:val="0"/>
        <w:jc w:val="center"/>
      </w:pPr>
      <w:r>
        <w:rPr>
          <w:sz w:val="20"/>
        </w:rPr>
        <w:t xml:space="preserve">С</w:t>
      </w:r>
      <w:r>
        <w:rPr>
          <w:sz w:val="20"/>
          <w:vertAlign w:val="subscript"/>
        </w:rPr>
        <w:t xml:space="preserve">ост</w:t>
      </w:r>
      <w:r>
        <w:rPr>
          <w:sz w:val="20"/>
        </w:rPr>
        <w:t xml:space="preserve"> = С</w:t>
      </w:r>
      <w:r>
        <w:rPr>
          <w:sz w:val="20"/>
          <w:vertAlign w:val="subscript"/>
        </w:rPr>
        <w:t xml:space="preserve">общ</w:t>
      </w:r>
      <w:r>
        <w:rPr>
          <w:sz w:val="20"/>
        </w:rPr>
        <w:t xml:space="preserve"> - С</w:t>
      </w:r>
      <w:r>
        <w:rPr>
          <w:sz w:val="20"/>
          <w:vertAlign w:val="subscript"/>
        </w:rPr>
        <w:t xml:space="preserve">вып1</w:t>
      </w:r>
      <w:r>
        <w:rPr>
          <w:sz w:val="20"/>
        </w:rPr>
        <w:t xml:space="preserve">, (4)</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С</w:t>
      </w:r>
      <w:r>
        <w:rPr>
          <w:sz w:val="20"/>
          <w:vertAlign w:val="subscript"/>
        </w:rPr>
        <w:t xml:space="preserve">общ</w:t>
      </w:r>
      <w:r>
        <w:rPr>
          <w:sz w:val="20"/>
        </w:rPr>
        <w:t xml:space="preserve"> - общая сметная стоимость услуг (работ) в уровне цен на дату утверждения проектной документации, получившей положительное заключение государственной экспертизы проектной документации;</w:t>
      </w:r>
    </w:p>
    <w:p>
      <w:pPr>
        <w:pStyle w:val="0"/>
        <w:spacing w:before="200" w:line-rule="auto"/>
        <w:ind w:firstLine="540"/>
        <w:jc w:val="both"/>
      </w:pPr>
      <w:r>
        <w:rPr>
          <w:sz w:val="20"/>
        </w:rPr>
        <w:t xml:space="preserve">С</w:t>
      </w:r>
      <w:r>
        <w:rPr>
          <w:sz w:val="20"/>
          <w:vertAlign w:val="subscript"/>
        </w:rPr>
        <w:t xml:space="preserve">вып1</w:t>
      </w:r>
      <w:r>
        <w:rPr>
          <w:sz w:val="20"/>
        </w:rPr>
        <w:t xml:space="preserve"> - сметная стоимость выполненных услуг (работ) в уровне цен на дату утверждения проектной документации, получившей положительное заключение государственной экспертизы проектной документации.</w:t>
      </w:r>
    </w:p>
    <w:p>
      <w:pPr>
        <w:pStyle w:val="0"/>
        <w:spacing w:before="200" w:line-rule="auto"/>
        <w:ind w:firstLine="540"/>
        <w:jc w:val="both"/>
      </w:pPr>
      <w:r>
        <w:rPr>
          <w:sz w:val="20"/>
        </w:rPr>
        <w:t xml:space="preserve">Сметная стоимость выполненных услуг (работ) в уровне цен на дату утверждения проектной документации, получившей положительное заключение государственной экспертизы проектной документации (С</w:t>
      </w:r>
      <w:r>
        <w:rPr>
          <w:sz w:val="20"/>
          <w:vertAlign w:val="subscript"/>
        </w:rPr>
        <w:t xml:space="preserve">вып1</w:t>
      </w:r>
      <w:r>
        <w:rPr>
          <w:sz w:val="20"/>
        </w:rPr>
        <w:t xml:space="preserve">), определяется по формуле (5):".</w:t>
      </w:r>
    </w:p>
    <w:p>
      <w:pPr>
        <w:pStyle w:val="0"/>
        <w:spacing w:before="200" w:line-rule="auto"/>
        <w:ind w:firstLine="540"/>
        <w:jc w:val="both"/>
      </w:pPr>
      <w:r>
        <w:rPr>
          <w:sz w:val="20"/>
        </w:rPr>
        <w:t xml:space="preserve">2.17. </w:t>
      </w:r>
      <w:hyperlink w:history="0" r:id="rId65" w:tooltip="Приказ Минстроя России от 23.12.2019 N 841/пр (ред. от 25.02.2022) &quot;Об утверждении Порядка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в сфере градостроительной деятельности (за исключением территориального планирования) и Методики составления сметы контракта, предметом которого являются строительство, реконструкция объектов капитального строит ------------ Недействующая редакция {КонсультантПлюс}">
        <w:r>
          <w:rPr>
            <w:sz w:val="20"/>
            <w:color w:val="0000ff"/>
          </w:rPr>
          <w:t xml:space="preserve">Пункт 28</w:t>
        </w:r>
      </w:hyperlink>
      <w:r>
        <w:rPr>
          <w:sz w:val="20"/>
        </w:rPr>
        <w:t xml:space="preserve"> дополнить абзацем следующего содержания:</w:t>
      </w:r>
    </w:p>
    <w:p>
      <w:pPr>
        <w:pStyle w:val="0"/>
        <w:spacing w:before="200" w:line-rule="auto"/>
        <w:ind w:firstLine="540"/>
        <w:jc w:val="both"/>
      </w:pPr>
      <w:r>
        <w:rPr>
          <w:sz w:val="20"/>
        </w:rPr>
        <w:t xml:space="preserve">"Расчет НМЦК на остатки услуг (работ) осуществляется заказчиком в процессе подготовки извещения об осуществлении закупки, документации о закупке (в случае, если Федеральным </w:t>
      </w:r>
      <w:hyperlink w:history="0" r:id="rId66" w:tooltip="Федеральный закон от 05.04.2013 N 44-ФЗ (ред. от 14.07.2022)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N 44-ФЗ предусмотрена документация о закупке) и размещается заказчиком в единой информационной системе в сфере закупок в составе извещения об осуществлении закупки, документации об осуществлении закупки (в случае, если Федеральным </w:t>
      </w:r>
      <w:hyperlink w:history="0" r:id="rId67" w:tooltip="Федеральный закон от 05.04.2013 N 44-ФЗ (ред. от 14.07.2022)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N 44-ФЗ предусмотрена документация о закупке), а при осуществлении закупки у единственного поставщика (подрядчика, исполнителя) - при подготовке проекта контракта.".</w:t>
      </w:r>
    </w:p>
    <w:p>
      <w:pPr>
        <w:pStyle w:val="0"/>
        <w:spacing w:before="200" w:line-rule="auto"/>
        <w:ind w:firstLine="540"/>
        <w:jc w:val="both"/>
      </w:pPr>
      <w:r>
        <w:rPr>
          <w:sz w:val="20"/>
        </w:rPr>
        <w:t xml:space="preserve">2.18. </w:t>
      </w:r>
      <w:hyperlink w:history="0" r:id="rId68" w:tooltip="Приказ Минстроя России от 23.12.2019 N 841/пр (ред. от 25.02.2022) &quot;Об утверждении Порядка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в сфере градостроительной деятельности (за исключением территориального планирования) и Методики составления сметы контракта, предметом которого являются строительство, реконструкция объектов капитального строит ------------ Недействующая редакция {КонсультантПлюс}">
        <w:r>
          <w:rPr>
            <w:sz w:val="20"/>
            <w:color w:val="0000ff"/>
          </w:rPr>
          <w:t xml:space="preserve">Пункт 29</w:t>
        </w:r>
      </w:hyperlink>
      <w:r>
        <w:rPr>
          <w:sz w:val="20"/>
        </w:rPr>
        <w:t xml:space="preserve"> изложить в следующей редакции:</w:t>
      </w:r>
    </w:p>
    <w:p>
      <w:pPr>
        <w:pStyle w:val="0"/>
        <w:spacing w:before="200" w:line-rule="auto"/>
        <w:ind w:firstLine="540"/>
        <w:jc w:val="both"/>
      </w:pPr>
      <w:r>
        <w:rPr>
          <w:sz w:val="20"/>
        </w:rPr>
        <w:t xml:space="preserve">"29. После определения НМЦК на выполнение подрядных работ по строительству, реконструкции, капитальному ремонту, сносу объектов капитального строительства, работ по сохранению объектов культурного наследия (памятников истории и культуры) народов Российской Федерации, а также строительству некапитальных строений и сооружений (далее - подрядные работы) осуществляется составление проекта сметы контракта. Проект сметы контракта на выполнение подрядных работ составляется в пределах НМЦК без использования сметных нормативов, сведения о которых включены в федеральный реестр сметных нормативов, и сметных цен строительных ресурсов.".</w:t>
      </w:r>
    </w:p>
    <w:p>
      <w:pPr>
        <w:pStyle w:val="0"/>
        <w:spacing w:before="200" w:line-rule="auto"/>
        <w:ind w:firstLine="540"/>
        <w:jc w:val="both"/>
      </w:pPr>
      <w:r>
        <w:rPr>
          <w:sz w:val="20"/>
        </w:rPr>
        <w:t xml:space="preserve">2.19. </w:t>
      </w:r>
      <w:hyperlink w:history="0" r:id="rId69" w:tooltip="Приказ Минстроя России от 23.12.2019 N 841/пр (ред. от 25.02.2022) &quot;Об утверждении Порядка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в сфере градостроительной деятельности (за исключением территориального планирования) и Методики составления сметы контракта, предметом которого являются строительство, реконструкция объектов капитального строит ------------ Недействующая редакция {КонсультантПлюс}">
        <w:r>
          <w:rPr>
            <w:sz w:val="20"/>
            <w:color w:val="0000ff"/>
          </w:rPr>
          <w:t xml:space="preserve">Пункты 31</w:t>
        </w:r>
      </w:hyperlink>
      <w:r>
        <w:rPr>
          <w:sz w:val="20"/>
        </w:rPr>
        <w:t xml:space="preserve"> и </w:t>
      </w:r>
      <w:hyperlink w:history="0" r:id="rId70" w:tooltip="Приказ Минстроя России от 23.12.2019 N 841/пр (ред. от 25.02.2022) &quot;Об утверждении Порядка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в сфере градостроительной деятельности (за исключением территориального планирования) и Методики составления сметы контракта, предметом которого являются строительство, реконструкция объектов капитального строит ------------ Недействующая редакция {КонсультантПлюс}">
        <w:r>
          <w:rPr>
            <w:sz w:val="20"/>
            <w:color w:val="0000ff"/>
          </w:rPr>
          <w:t xml:space="preserve">32</w:t>
        </w:r>
      </w:hyperlink>
      <w:r>
        <w:rPr>
          <w:sz w:val="20"/>
        </w:rPr>
        <w:t xml:space="preserve"> изложить в следующей редакции:</w:t>
      </w:r>
    </w:p>
    <w:p>
      <w:pPr>
        <w:pStyle w:val="0"/>
        <w:spacing w:before="200" w:line-rule="auto"/>
        <w:ind w:firstLine="540"/>
        <w:jc w:val="both"/>
      </w:pPr>
      <w:r>
        <w:rPr>
          <w:sz w:val="20"/>
        </w:rPr>
        <w:t xml:space="preserve">"31. Составление проекта сметы контракта осуществляется в следующей последовательности:</w:t>
      </w:r>
    </w:p>
    <w:p>
      <w:pPr>
        <w:pStyle w:val="0"/>
        <w:spacing w:before="200" w:line-rule="auto"/>
        <w:ind w:firstLine="540"/>
        <w:jc w:val="both"/>
      </w:pPr>
      <w:r>
        <w:rPr>
          <w:sz w:val="20"/>
        </w:rPr>
        <w:t xml:space="preserve">а) проводится анализ, обобщение и систематизация проектной документации, получившей положительное заключение экспертизы проектной документации, в том числе сметной документации, составленной с использованием сметных цен строительных ресурсов, а также сметных нормативов, индексов изменения сметной стоимости строительства, расценок, цен, методических и других документов в сфере ценообразования и сметного нормирования в области градостроительной деятельности, сведения о которых включены в федеральный реестр сметных нормативов, и применяемых с учетом положений </w:t>
      </w:r>
      <w:hyperlink w:history="0" r:id="rId71"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статьи 3</w:t>
        </w:r>
      </w:hyperlink>
      <w:r>
        <w:rPr>
          <w:sz w:val="20"/>
        </w:rPr>
        <w:t xml:space="preserve"> Федерального закона N 191-ФЗ (Собрание законодательства Российской Федерации, 2017, N 31, ст. 4740; 2019, N 26, ст. 3317), рабочей документацией (при наличии);</w:t>
      </w:r>
    </w:p>
    <w:p>
      <w:pPr>
        <w:pStyle w:val="0"/>
        <w:spacing w:before="200" w:line-rule="auto"/>
        <w:ind w:firstLine="540"/>
        <w:jc w:val="both"/>
      </w:pPr>
      <w:r>
        <w:rPr>
          <w:sz w:val="20"/>
        </w:rPr>
        <w:t xml:space="preserve">б) составляется ведомость объемов технологически законченных элементов, включающих определенные в соответствии с проектной документацией, рабочей документацией (при наличии) необходимые для их возведения (устройства) комплексы работ (строительные конструкции, в том числе подземная часть, несущие конструкции, наружные стены, полы, внутренние стены, заполнение оконных и дверных проемов, перекрытия, покрытие, кровля, отделочные работы и тому подобное; системы инженерно-технического обеспечения, в том числе водоснабжение, водоотведение, теплоснабжение, газоснабжение, вентиляцию, кондиционирование, электроосвещение, электроснабжение) и работ, связанных между собой и необходимых в соответствии с проектной документацией, рабочей документацией (при наличии) для возведения (устройства) технологически законченного конструктивного решения (элемента), оборудования (далее соответственно - конструктивные решения (элементы), комплексы (видов) работ, оборудования, Ведомость). Ведомость предусматривает детализацию объекта капитального строительства по основным конструктивным решениям (элементам), комплексам (видам) работ и определение объемов работ и единиц измерения конструктивных решений (элементов), комплексов (видов) работ. Отдельной строкой учитывается количество и стоимость оборудования, мебели, инвентаря с отражением страны их происхождения (далее - оборудование), поставляемых в рамках контракта, в случае, если оборудование в соответствии с законодательством Российской Федерации о бухгалтерском учете подлежит принятию к бухгалтерскому учету в качестве отдельного объекта основных средств. В иных случаях решение о выделении оборудования отдельной строкой принимается заказчиком.</w:t>
      </w:r>
    </w:p>
    <w:p>
      <w:pPr>
        <w:pStyle w:val="0"/>
        <w:spacing w:before="200" w:line-rule="auto"/>
        <w:ind w:firstLine="540"/>
        <w:jc w:val="both"/>
      </w:pPr>
      <w:r>
        <w:rPr>
          <w:sz w:val="20"/>
        </w:rPr>
        <w:t xml:space="preserve">Ведомость составляется заказчиком, за исключением случая, если соответствующая Ведомость составлена при подготовке проектной документации на основании задания на проектирование лицом, осуществляющим подготовку такой документации. Рекомендуемый образец Ведомости приведен в Приложении N 5 к Порядку;</w:t>
      </w:r>
    </w:p>
    <w:p>
      <w:pPr>
        <w:pStyle w:val="0"/>
        <w:spacing w:before="200" w:line-rule="auto"/>
        <w:ind w:firstLine="540"/>
        <w:jc w:val="both"/>
      </w:pPr>
      <w:r>
        <w:rPr>
          <w:sz w:val="20"/>
        </w:rPr>
        <w:t xml:space="preserve">в) на основании Ведомости составляется проект сметы контракта, предусматривающий определение цены каждого конструктивного решения (элемента), комплекса (вида) работ, оборудования, входящего в состав конструктивного решения (элемента), комплекса (вида) работ, либо выделенного отдельной строкой, всего и на принятую единицу измерения в пределах НМЦК на выполнение подрядных работ.</w:t>
      </w:r>
    </w:p>
    <w:p>
      <w:pPr>
        <w:pStyle w:val="0"/>
        <w:spacing w:before="200" w:line-rule="auto"/>
        <w:ind w:firstLine="540"/>
        <w:jc w:val="both"/>
      </w:pPr>
      <w:r>
        <w:rPr>
          <w:sz w:val="20"/>
        </w:rPr>
        <w:t xml:space="preserve">При этом цена конструктивного решения (элемента), комплекса (вида) работ, оборудования, входящего в состав конструктивного решения (элемента), комплекса (вида) работ, либо выделенного отдельной строкой определяется с учетом стоимостных показателей строительных ресурсов, необходимых для выполнения работ и (или) работы (услуги), полученных по результатам конъюнктурного анализа рынка, а также по стоимости работы (услуги), определенной по стоимости аналогичных работ (услуг) на завершенном объекте капитального строительства, в случае, если такое решение принято заказчиком.".</w:t>
      </w:r>
    </w:p>
    <w:p>
      <w:pPr>
        <w:pStyle w:val="0"/>
        <w:spacing w:before="200" w:line-rule="auto"/>
        <w:ind w:firstLine="540"/>
        <w:jc w:val="both"/>
      </w:pPr>
      <w:r>
        <w:rPr>
          <w:sz w:val="20"/>
        </w:rPr>
        <w:t xml:space="preserve">32. Составление Ведомости осуществляется в соответствии с проектной документацией, получившей положительное заключение экспертизы, рабочей документацией (при наличии).".</w:t>
      </w:r>
    </w:p>
    <w:p>
      <w:pPr>
        <w:pStyle w:val="0"/>
        <w:spacing w:before="200" w:line-rule="auto"/>
        <w:ind w:firstLine="540"/>
        <w:jc w:val="both"/>
      </w:pPr>
      <w:r>
        <w:rPr>
          <w:sz w:val="20"/>
        </w:rPr>
        <w:t xml:space="preserve">2.20. В </w:t>
      </w:r>
      <w:hyperlink w:history="0" r:id="rId72" w:tooltip="Приказ Минстроя России от 23.12.2019 N 841/пр (ред. от 25.02.2022) &quot;Об утверждении Порядка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в сфере градостроительной деятельности (за исключением территориального планирования) и Методики составления сметы контракта, предметом которого являются строительство, реконструкция объектов капитального строит ------------ Недействующая редакция {КонсультантПлюс}">
        <w:r>
          <w:rPr>
            <w:sz w:val="20"/>
            <w:color w:val="0000ff"/>
          </w:rPr>
          <w:t xml:space="preserve">пункте 33</w:t>
        </w:r>
      </w:hyperlink>
      <w:r>
        <w:rPr>
          <w:sz w:val="20"/>
        </w:rPr>
        <w:t xml:space="preserve">:</w:t>
      </w:r>
    </w:p>
    <w:p>
      <w:pPr>
        <w:pStyle w:val="0"/>
        <w:spacing w:before="200" w:line-rule="auto"/>
        <w:ind w:firstLine="540"/>
        <w:jc w:val="both"/>
      </w:pPr>
      <w:hyperlink w:history="0" r:id="rId73" w:tooltip="Приказ Минстроя России от 23.12.2019 N 841/пр (ред. от 25.02.2022) &quot;Об утверждении Порядка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в сфере градостроительной деятельности (за исключением территориального планирования) и Методики составления сметы контракта, предметом которого являются строительство, реконструкция объектов капитального строит ------------ Недействующая редакция {КонсультантПлюс}">
        <w:r>
          <w:rPr>
            <w:sz w:val="20"/>
            <w:color w:val="0000ff"/>
          </w:rPr>
          <w:t xml:space="preserve">абзац первый подпункта "б"</w:t>
        </w:r>
      </w:hyperlink>
      <w:r>
        <w:rPr>
          <w:sz w:val="20"/>
        </w:rPr>
        <w:t xml:space="preserve"> изложить в следующей редакции:</w:t>
      </w:r>
    </w:p>
    <w:p>
      <w:pPr>
        <w:pStyle w:val="0"/>
        <w:spacing w:before="200" w:line-rule="auto"/>
        <w:ind w:firstLine="540"/>
        <w:jc w:val="both"/>
      </w:pPr>
      <w:r>
        <w:rPr>
          <w:sz w:val="20"/>
        </w:rPr>
        <w:t xml:space="preserve">"б) наименование конструктивного решения (элемента), комплекса (вида) работ, оборудования, выделенного отдельной строкой.";</w:t>
      </w:r>
    </w:p>
    <w:p>
      <w:pPr>
        <w:pStyle w:val="0"/>
        <w:spacing w:before="200" w:line-rule="auto"/>
        <w:ind w:firstLine="540"/>
        <w:jc w:val="both"/>
      </w:pPr>
      <w:hyperlink w:history="0" r:id="rId74" w:tooltip="Приказ Минстроя России от 23.12.2019 N 841/пр (ред. от 25.02.2022) &quot;Об утверждении Порядка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в сфере градостроительной деятельности (за исключением территориального планирования) и Методики составления сметы контракта, предметом которого являются строительство, реконструкция объектов капитального строит ------------ Недействующая редакция {КонсультантПлюс}">
        <w:r>
          <w:rPr>
            <w:sz w:val="20"/>
            <w:color w:val="0000ff"/>
          </w:rPr>
          <w:t xml:space="preserve">подпункт "в"</w:t>
        </w:r>
      </w:hyperlink>
      <w:r>
        <w:rPr>
          <w:sz w:val="20"/>
        </w:rPr>
        <w:t xml:space="preserve"> изложить в следующей редакции:</w:t>
      </w:r>
    </w:p>
    <w:p>
      <w:pPr>
        <w:pStyle w:val="0"/>
        <w:spacing w:before="200" w:line-rule="auto"/>
        <w:ind w:firstLine="540"/>
        <w:jc w:val="both"/>
      </w:pPr>
      <w:r>
        <w:rPr>
          <w:sz w:val="20"/>
        </w:rPr>
        <w:t xml:space="preserve">"в) единицы измерения конструктивных решений (элементов), комплексов (видов) работ, оборудования, выделенного отдельной строкой, принятые в соответствии с Общероссийским </w:t>
      </w:r>
      <w:hyperlink w:history="0" r:id="rId75" w:tooltip="&quot;ОК 015-94 (МК 002-97). Общероссийский классификатор единиц измерения&quot; (утв. Постановлением Госстандарта России от 26.12.1994 N 366) (ред. от 26.07.2022) {КонсультантПлюс}">
        <w:r>
          <w:rPr>
            <w:sz w:val="20"/>
            <w:color w:val="0000ff"/>
          </w:rPr>
          <w:t xml:space="preserve">классификатором</w:t>
        </w:r>
      </w:hyperlink>
      <w:r>
        <w:rPr>
          <w:sz w:val="20"/>
        </w:rPr>
        <w:t xml:space="preserve"> единиц измерения ОК 015-94 (МК 002-97) (утвержден постановлением Госстандарта России от 26 декабря 1994 г. N 366 (М., ИПК Издательство стандартов, 1995).</w:t>
      </w:r>
    </w:p>
    <w:p>
      <w:pPr>
        <w:pStyle w:val="0"/>
        <w:spacing w:before="200" w:line-rule="auto"/>
        <w:ind w:firstLine="540"/>
        <w:jc w:val="both"/>
      </w:pPr>
      <w:r>
        <w:rPr>
          <w:sz w:val="20"/>
        </w:rPr>
        <w:t xml:space="preserve">Выбор единиц измерения конструктивных решений (элементов), комплексов (видов) работ, оборудования осуществляется в зависимости от характерных особенностей и состава группируемых работ и затрат, данных об объемах, которые получены непосредственно из проектной документации.</w:t>
      </w:r>
    </w:p>
    <w:p>
      <w:pPr>
        <w:pStyle w:val="0"/>
        <w:spacing w:before="200" w:line-rule="auto"/>
        <w:ind w:firstLine="540"/>
        <w:jc w:val="both"/>
      </w:pPr>
      <w:r>
        <w:rPr>
          <w:sz w:val="20"/>
        </w:rPr>
        <w:t xml:space="preserve">Разнородные работы и затраты, включая оборудование (если оно не выделено отдельной строкой), сгруппированные в конструктивном решении (элементе), комплексе (виде) работ (система теплоснабжения, система водоснабжения, тепловой узел и другие), объединяются в комплекс работ, используемый для идентификации конструктивных и (или) инженерных систем, в случае если такое решение принято заказчиком. Работам, объединенным в комплекс работ, присваивается единица измерения "штука".</w:t>
      </w:r>
    </w:p>
    <w:p>
      <w:pPr>
        <w:pStyle w:val="0"/>
        <w:spacing w:before="200" w:line-rule="auto"/>
        <w:ind w:firstLine="540"/>
        <w:jc w:val="both"/>
      </w:pPr>
      <w:r>
        <w:rPr>
          <w:sz w:val="20"/>
        </w:rPr>
        <w:t xml:space="preserve">При этом работы и затраты, объединенные в комплекс работ с использованием единицы измерения "штука", не подлежат поэтапной приемке. Приемка работ и затрат, объединенных в комплекс, осуществляется после завершения выполнения всего комплекса работ. В целях дополнительной детализации конструктивных решений (элементов), комплексов (видов) работ с наименованием единицы измерения "штука" из этого комплекса работ могут быть выделены отдельные виды работ и затрат (произведено разукрупнение), в случае если такое решение принято заказчиком.</w:t>
      </w:r>
    </w:p>
    <w:p>
      <w:pPr>
        <w:pStyle w:val="0"/>
        <w:spacing w:before="200" w:line-rule="auto"/>
        <w:ind w:firstLine="540"/>
        <w:jc w:val="both"/>
      </w:pPr>
      <w:r>
        <w:rPr>
          <w:sz w:val="20"/>
        </w:rPr>
        <w:t xml:space="preserve">При группировке и разукрупнении работ и затрат внутри комплекса работ необходимым условием является установление законченности всего объема работ, подтверждающее качество и работоспособность законченных конструктивных решений (элементов), комплексов (видов) работ, включая необходимые испытания, установленные проектной документацией, рабочей документацией (при наличии).".</w:t>
      </w:r>
    </w:p>
    <w:p>
      <w:pPr>
        <w:pStyle w:val="0"/>
        <w:spacing w:before="200" w:line-rule="auto"/>
        <w:ind w:firstLine="540"/>
        <w:jc w:val="both"/>
      </w:pPr>
      <w:hyperlink w:history="0" r:id="rId76" w:tooltip="Приказ Минстроя России от 23.12.2019 N 841/пр (ред. от 25.02.2022) &quot;Об утверждении Порядка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в сфере градостроительной деятельности (за исключением территориального планирования) и Методики составления сметы контракта, предметом которого являются строительство, реконструкция объектов капитального строит ------------ Недействующая редакция {КонсультантПлюс}">
        <w:r>
          <w:rPr>
            <w:sz w:val="20"/>
            <w:color w:val="0000ff"/>
          </w:rPr>
          <w:t xml:space="preserve">абзац второй подпункта "г"</w:t>
        </w:r>
      </w:hyperlink>
      <w:r>
        <w:rPr>
          <w:sz w:val="20"/>
        </w:rPr>
        <w:t xml:space="preserve"> изложить в следующей редакции:</w:t>
      </w:r>
    </w:p>
    <w:p>
      <w:pPr>
        <w:pStyle w:val="0"/>
        <w:spacing w:before="200" w:line-rule="auto"/>
        <w:ind w:firstLine="540"/>
        <w:jc w:val="both"/>
      </w:pPr>
      <w:r>
        <w:rPr>
          <w:sz w:val="20"/>
        </w:rPr>
        <w:t xml:space="preserve">"В случае, если конструктивное решение (элемент), комплекс (вид) работ в соответствии с графиком строительно-монтажных работ выполняются поэтапно, из общего объема сгруппированных в нем работ в Ведомости выделяются отдельные объемы работ, подлежащие выполнению на соответствующих этапах.".</w:t>
      </w:r>
    </w:p>
    <w:p>
      <w:pPr>
        <w:pStyle w:val="0"/>
        <w:spacing w:before="200" w:line-rule="auto"/>
        <w:ind w:firstLine="540"/>
        <w:jc w:val="both"/>
      </w:pPr>
      <w:r>
        <w:rPr>
          <w:sz w:val="20"/>
        </w:rPr>
        <w:t xml:space="preserve">2.21. </w:t>
      </w:r>
      <w:hyperlink w:history="0" r:id="rId77" w:tooltip="Приказ Минстроя России от 23.12.2019 N 841/пр (ред. от 25.02.2022) &quot;Об утверждении Порядка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в сфере градостроительной деятельности (за исключением территориального планирования) и Методики составления сметы контракта, предметом которого являются строительство, реконструкция объектов капитального строит ------------ Недействующая редакция {КонсультантПлюс}">
        <w:r>
          <w:rPr>
            <w:sz w:val="20"/>
            <w:color w:val="0000ff"/>
          </w:rPr>
          <w:t xml:space="preserve">Пункты 34</w:t>
        </w:r>
      </w:hyperlink>
      <w:r>
        <w:rPr>
          <w:sz w:val="20"/>
        </w:rPr>
        <w:t xml:space="preserve"> и </w:t>
      </w:r>
      <w:hyperlink w:history="0" r:id="rId78" w:tooltip="Приказ Минстроя России от 23.12.2019 N 841/пр (ред. от 25.02.2022) &quot;Об утверждении Порядка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в сфере градостроительной деятельности (за исключением территориального планирования) и Методики составления сметы контракта, предметом которого являются строительство, реконструкция объектов капитального строит ------------ Недействующая редакция {КонсультантПлюс}">
        <w:r>
          <w:rPr>
            <w:sz w:val="20"/>
            <w:color w:val="0000ff"/>
          </w:rPr>
          <w:t xml:space="preserve">35</w:t>
        </w:r>
      </w:hyperlink>
      <w:r>
        <w:rPr>
          <w:sz w:val="20"/>
        </w:rPr>
        <w:t xml:space="preserve"> изложить в следующей редакции:</w:t>
      </w:r>
    </w:p>
    <w:p>
      <w:pPr>
        <w:pStyle w:val="0"/>
        <w:spacing w:before="200" w:line-rule="auto"/>
        <w:ind w:firstLine="540"/>
        <w:jc w:val="both"/>
      </w:pPr>
      <w:r>
        <w:rPr>
          <w:sz w:val="20"/>
        </w:rPr>
        <w:t xml:space="preserve">"34. В проекте сметы контракта в соответствии с Ведомостью указываются наименование, единица измерения, количество (объем) конструктивного решения (элемента), комплекса (вида) работ, оборудования, выделенного отдельной строкой, цена каждого конструктивного решения (элемента), комплекса (вида) работ, оборудования, выделенного отдельной строкой, установленная на единицу измерения и всего, с учетом объема работ. Рекомендуемый образец проекта сметы контракта приведен в Приложении N 6 к Порядку.</w:t>
      </w:r>
    </w:p>
    <w:p>
      <w:pPr>
        <w:pStyle w:val="0"/>
        <w:spacing w:before="200" w:line-rule="auto"/>
        <w:ind w:firstLine="540"/>
        <w:jc w:val="both"/>
      </w:pPr>
      <w:r>
        <w:rPr>
          <w:sz w:val="20"/>
        </w:rPr>
        <w:t xml:space="preserve">Для оборудования, которое в соответствии с законодательством Российской Федерации о бухгалтерском учете подлежит принятию к бухгалтерскому учету в качестве отдельного объекта основных средств, одновременно указывается страна его происхождения.</w:t>
      </w:r>
    </w:p>
    <w:p>
      <w:pPr>
        <w:pStyle w:val="0"/>
        <w:spacing w:before="200" w:line-rule="auto"/>
        <w:ind w:firstLine="540"/>
        <w:jc w:val="both"/>
      </w:pPr>
      <w:r>
        <w:rPr>
          <w:sz w:val="20"/>
        </w:rPr>
        <w:t xml:space="preserve">35. Цена конструктивных решений (элементов), комплексов (видов) работ, оборудования, входящего в состав конструктивного решения (элемента), комплекса (вида) работ либо выделенного отдельной строкой, определяется в соответствии с НМЦК на выполнение подрядных работ на основании данных, содержащихся в сводном сметном расчете стоимости строительства, объектных и локальных сметах (сметных расчетах), информация о которых указана в Ведомости, по формуле (9):</w:t>
      </w:r>
    </w:p>
    <w:p>
      <w:pPr>
        <w:pStyle w:val="0"/>
        <w:jc w:val="both"/>
      </w:pPr>
      <w:r>
        <w:rPr>
          <w:sz w:val="20"/>
        </w:rPr>
      </w:r>
    </w:p>
    <w:p>
      <w:pPr>
        <w:pStyle w:val="0"/>
        <w:jc w:val="center"/>
      </w:pPr>
      <w:r>
        <w:rPr>
          <w:sz w:val="20"/>
        </w:rPr>
        <w:t xml:space="preserve">Ц = С</w:t>
      </w:r>
      <w:r>
        <w:rPr>
          <w:sz w:val="20"/>
          <w:vertAlign w:val="subscript"/>
        </w:rPr>
        <w:t xml:space="preserve">пр</w:t>
      </w:r>
      <w:r>
        <w:rPr>
          <w:sz w:val="20"/>
        </w:rPr>
        <w:t xml:space="preserve"> x К</w:t>
      </w:r>
      <w:r>
        <w:rPr>
          <w:sz w:val="20"/>
          <w:vertAlign w:val="subscript"/>
        </w:rPr>
        <w:t xml:space="preserve">инф</w:t>
      </w:r>
      <w:r>
        <w:rPr>
          <w:sz w:val="20"/>
        </w:rPr>
        <w:t xml:space="preserve">, (9)</w:t>
      </w:r>
    </w:p>
    <w:p>
      <w:pPr>
        <w:pStyle w:val="0"/>
        <w:jc w:val="both"/>
      </w:pPr>
      <w:r>
        <w:rPr>
          <w:sz w:val="20"/>
        </w:rPr>
      </w:r>
    </w:p>
    <w:tbl>
      <w:tblPr>
        <w:tblInd w:w="0" w:type="dxa"/>
        <w:tblLayout w:type="fixed"/>
        <w:tblCellMar>
          <w:top w:w="102" w:type="dxa"/>
          <w:left w:w="62" w:type="dxa"/>
          <w:bottom w:w="102" w:type="dxa"/>
          <w:right w:w="62" w:type="dxa"/>
        </w:tblCellMar>
      </w:tblPr>
      <w:tblGrid>
        <w:gridCol w:w="525"/>
        <w:gridCol w:w="690"/>
        <w:gridCol w:w="340"/>
        <w:gridCol w:w="7505"/>
      </w:tblGrid>
      <w:tr>
        <w:tc>
          <w:tcPr>
            <w:tcW w:w="525" w:type="dxa"/>
            <w:tcBorders>
              <w:top w:val="nil"/>
              <w:left w:val="nil"/>
              <w:bottom w:val="nil"/>
              <w:right w:val="nil"/>
            </w:tcBorders>
          </w:tcPr>
          <w:p>
            <w:pPr>
              <w:pStyle w:val="0"/>
            </w:pPr>
            <w:r>
              <w:rPr>
                <w:sz w:val="20"/>
              </w:rPr>
            </w:r>
          </w:p>
        </w:tc>
        <w:tc>
          <w:tcPr>
            <w:tcW w:w="690" w:type="dxa"/>
            <w:tcBorders>
              <w:top w:val="nil"/>
              <w:left w:val="nil"/>
              <w:bottom w:val="nil"/>
              <w:right w:val="nil"/>
            </w:tcBorders>
          </w:tcPr>
          <w:p>
            <w:pPr>
              <w:pStyle w:val="0"/>
              <w:jc w:val="both"/>
            </w:pPr>
            <w:r>
              <w:rPr>
                <w:sz w:val="20"/>
              </w:rPr>
              <w:t xml:space="preserve">где:</w:t>
            </w:r>
          </w:p>
        </w:tc>
        <w:tc>
          <w:tcPr>
            <w:tcW w:w="340" w:type="dxa"/>
            <w:tcBorders>
              <w:top w:val="nil"/>
              <w:left w:val="nil"/>
              <w:bottom w:val="nil"/>
              <w:right w:val="nil"/>
            </w:tcBorders>
          </w:tcPr>
          <w:p>
            <w:pPr>
              <w:pStyle w:val="0"/>
            </w:pPr>
            <w:r>
              <w:rPr>
                <w:sz w:val="20"/>
              </w:rPr>
            </w:r>
          </w:p>
        </w:tc>
        <w:tc>
          <w:tcPr>
            <w:tcW w:w="7505" w:type="dxa"/>
            <w:tcBorders>
              <w:top w:val="nil"/>
              <w:left w:val="nil"/>
              <w:bottom w:val="nil"/>
              <w:right w:val="nil"/>
            </w:tcBorders>
          </w:tcPr>
          <w:p>
            <w:pPr>
              <w:pStyle w:val="0"/>
            </w:pPr>
            <w:r>
              <w:rPr>
                <w:sz w:val="20"/>
              </w:rPr>
            </w:r>
          </w:p>
        </w:tc>
      </w:tr>
      <w:tr>
        <w:tc>
          <w:tcPr>
            <w:tcW w:w="525" w:type="dxa"/>
            <w:tcBorders>
              <w:top w:val="nil"/>
              <w:left w:val="nil"/>
              <w:bottom w:val="nil"/>
              <w:right w:val="nil"/>
            </w:tcBorders>
          </w:tcPr>
          <w:p>
            <w:pPr>
              <w:pStyle w:val="0"/>
            </w:pPr>
            <w:r>
              <w:rPr>
                <w:sz w:val="20"/>
              </w:rPr>
            </w:r>
          </w:p>
        </w:tc>
        <w:tc>
          <w:tcPr>
            <w:tcW w:w="690" w:type="dxa"/>
            <w:tcBorders>
              <w:top w:val="nil"/>
              <w:left w:val="nil"/>
              <w:bottom w:val="nil"/>
              <w:right w:val="nil"/>
            </w:tcBorders>
          </w:tcPr>
          <w:p>
            <w:pPr>
              <w:pStyle w:val="0"/>
              <w:jc w:val="both"/>
            </w:pPr>
            <w:r>
              <w:rPr>
                <w:sz w:val="20"/>
              </w:rPr>
              <w:t xml:space="preserve">Ц</w:t>
            </w:r>
          </w:p>
        </w:tc>
        <w:tc>
          <w:tcPr>
            <w:tcW w:w="340" w:type="dxa"/>
            <w:tcBorders>
              <w:top w:val="nil"/>
              <w:left w:val="nil"/>
              <w:bottom w:val="nil"/>
              <w:right w:val="nil"/>
            </w:tcBorders>
          </w:tcPr>
          <w:p>
            <w:pPr>
              <w:pStyle w:val="0"/>
              <w:jc w:val="center"/>
            </w:pPr>
            <w:r>
              <w:rPr>
                <w:sz w:val="20"/>
              </w:rPr>
              <w:t xml:space="preserve">-</w:t>
            </w:r>
          </w:p>
        </w:tc>
        <w:tc>
          <w:tcPr>
            <w:tcW w:w="7505" w:type="dxa"/>
            <w:tcBorders>
              <w:top w:val="nil"/>
              <w:left w:val="nil"/>
              <w:bottom w:val="nil"/>
              <w:right w:val="nil"/>
            </w:tcBorders>
          </w:tcPr>
          <w:p>
            <w:pPr>
              <w:pStyle w:val="0"/>
              <w:jc w:val="both"/>
            </w:pPr>
            <w:r>
              <w:rPr>
                <w:sz w:val="20"/>
              </w:rPr>
              <w:t xml:space="preserve">цена конструктивного решения (элемента), комплекса (вида) работ;</w:t>
            </w:r>
          </w:p>
        </w:tc>
      </w:tr>
      <w:tr>
        <w:tc>
          <w:tcPr>
            <w:tcW w:w="525" w:type="dxa"/>
            <w:tcBorders>
              <w:top w:val="nil"/>
              <w:left w:val="nil"/>
              <w:bottom w:val="nil"/>
              <w:right w:val="nil"/>
            </w:tcBorders>
          </w:tcPr>
          <w:p>
            <w:pPr>
              <w:pStyle w:val="0"/>
            </w:pPr>
            <w:r>
              <w:rPr>
                <w:sz w:val="20"/>
              </w:rPr>
            </w:r>
          </w:p>
        </w:tc>
        <w:tc>
          <w:tcPr>
            <w:tcW w:w="690" w:type="dxa"/>
            <w:tcBorders>
              <w:top w:val="nil"/>
              <w:left w:val="nil"/>
              <w:bottom w:val="nil"/>
              <w:right w:val="nil"/>
            </w:tcBorders>
          </w:tcPr>
          <w:p>
            <w:pPr>
              <w:pStyle w:val="0"/>
              <w:jc w:val="both"/>
            </w:pPr>
            <w:r>
              <w:rPr>
                <w:sz w:val="20"/>
              </w:rPr>
              <w:t xml:space="preserve">С</w:t>
            </w:r>
            <w:r>
              <w:rPr>
                <w:sz w:val="20"/>
                <w:vertAlign w:val="subscript"/>
              </w:rPr>
              <w:t xml:space="preserve">пр</w:t>
            </w:r>
          </w:p>
        </w:tc>
        <w:tc>
          <w:tcPr>
            <w:tcW w:w="340" w:type="dxa"/>
            <w:tcBorders>
              <w:top w:val="nil"/>
              <w:left w:val="nil"/>
              <w:bottom w:val="nil"/>
              <w:right w:val="nil"/>
            </w:tcBorders>
          </w:tcPr>
          <w:p>
            <w:pPr>
              <w:pStyle w:val="0"/>
              <w:jc w:val="center"/>
            </w:pPr>
            <w:r>
              <w:rPr>
                <w:sz w:val="20"/>
              </w:rPr>
              <w:t xml:space="preserve">-</w:t>
            </w:r>
          </w:p>
        </w:tc>
        <w:tc>
          <w:tcPr>
            <w:tcW w:w="7505" w:type="dxa"/>
            <w:tcBorders>
              <w:top w:val="nil"/>
              <w:left w:val="nil"/>
              <w:bottom w:val="nil"/>
              <w:right w:val="nil"/>
            </w:tcBorders>
          </w:tcPr>
          <w:p>
            <w:pPr>
              <w:pStyle w:val="0"/>
              <w:jc w:val="both"/>
            </w:pPr>
            <w:r>
              <w:rPr>
                <w:sz w:val="20"/>
              </w:rPr>
              <w:t xml:space="preserve">стоимость подрядных работ, сформированная в соответствии с положениями пункта 37 Порядка, в уровне цен на дату утверждения проектной документации;</w:t>
            </w:r>
          </w:p>
        </w:tc>
      </w:tr>
      <w:tr>
        <w:tc>
          <w:tcPr>
            <w:tcW w:w="525" w:type="dxa"/>
            <w:tcBorders>
              <w:top w:val="nil"/>
              <w:left w:val="nil"/>
              <w:bottom w:val="nil"/>
              <w:right w:val="nil"/>
            </w:tcBorders>
          </w:tcPr>
          <w:p>
            <w:pPr>
              <w:pStyle w:val="0"/>
            </w:pPr>
            <w:r>
              <w:rPr>
                <w:sz w:val="20"/>
              </w:rPr>
            </w:r>
          </w:p>
        </w:tc>
        <w:tc>
          <w:tcPr>
            <w:tcW w:w="690" w:type="dxa"/>
            <w:tcBorders>
              <w:top w:val="nil"/>
              <w:left w:val="nil"/>
              <w:bottom w:val="nil"/>
              <w:right w:val="nil"/>
            </w:tcBorders>
          </w:tcPr>
          <w:p>
            <w:pPr>
              <w:pStyle w:val="0"/>
              <w:jc w:val="both"/>
            </w:pPr>
            <w:r>
              <w:rPr>
                <w:sz w:val="20"/>
              </w:rPr>
              <w:t xml:space="preserve">К</w:t>
            </w:r>
            <w:r>
              <w:rPr>
                <w:sz w:val="20"/>
                <w:vertAlign w:val="subscript"/>
              </w:rPr>
              <w:t xml:space="preserve">инф</w:t>
            </w:r>
          </w:p>
        </w:tc>
        <w:tc>
          <w:tcPr>
            <w:tcW w:w="340" w:type="dxa"/>
            <w:tcBorders>
              <w:top w:val="nil"/>
              <w:left w:val="nil"/>
              <w:bottom w:val="nil"/>
              <w:right w:val="nil"/>
            </w:tcBorders>
          </w:tcPr>
          <w:p>
            <w:pPr>
              <w:pStyle w:val="0"/>
              <w:jc w:val="center"/>
            </w:pPr>
            <w:r>
              <w:rPr>
                <w:sz w:val="20"/>
              </w:rPr>
              <w:t xml:space="preserve">-</w:t>
            </w:r>
          </w:p>
        </w:tc>
        <w:tc>
          <w:tcPr>
            <w:tcW w:w="7505" w:type="dxa"/>
            <w:tcBorders>
              <w:top w:val="nil"/>
              <w:left w:val="nil"/>
              <w:bottom w:val="nil"/>
              <w:right w:val="nil"/>
            </w:tcBorders>
          </w:tcPr>
          <w:p>
            <w:pPr>
              <w:pStyle w:val="0"/>
              <w:jc w:val="both"/>
            </w:pPr>
            <w:r>
              <w:rPr>
                <w:sz w:val="20"/>
              </w:rPr>
              <w:t xml:space="preserve">индексы фактической и прогнозной инфляции, примененные при расчете НМЦК на выполнение подрядных работ.".</w:t>
            </w:r>
          </w:p>
        </w:tc>
      </w:tr>
    </w:tbl>
    <w:p>
      <w:pPr>
        <w:pStyle w:val="0"/>
        <w:jc w:val="both"/>
      </w:pPr>
      <w:r>
        <w:rPr>
          <w:sz w:val="20"/>
        </w:rPr>
      </w:r>
    </w:p>
    <w:p>
      <w:pPr>
        <w:pStyle w:val="0"/>
        <w:ind w:firstLine="540"/>
        <w:jc w:val="both"/>
      </w:pPr>
      <w:r>
        <w:rPr>
          <w:sz w:val="20"/>
        </w:rPr>
        <w:t xml:space="preserve">2.22. В </w:t>
      </w:r>
      <w:hyperlink w:history="0" r:id="rId79" w:tooltip="Приказ Минстроя России от 23.12.2019 N 841/пр (ред. от 25.02.2022) &quot;Об утверждении Порядка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в сфере градостроительной деятельности (за исключением территориального планирования) и Методики составления сметы контракта, предметом которого являются строительство, реконструкция объектов капитального строит ------------ Недействующая редакция {КонсультантПлюс}">
        <w:r>
          <w:rPr>
            <w:sz w:val="20"/>
            <w:color w:val="0000ff"/>
          </w:rPr>
          <w:t xml:space="preserve">пункте 37</w:t>
        </w:r>
      </w:hyperlink>
      <w:r>
        <w:rPr>
          <w:sz w:val="20"/>
        </w:rPr>
        <w:t xml:space="preserve">:</w:t>
      </w:r>
    </w:p>
    <w:p>
      <w:pPr>
        <w:pStyle w:val="0"/>
        <w:spacing w:before="200" w:line-rule="auto"/>
        <w:ind w:firstLine="540"/>
        <w:jc w:val="both"/>
      </w:pPr>
      <w:hyperlink w:history="0" r:id="rId80" w:tooltip="Приказ Минстроя России от 23.12.2019 N 841/пр (ред. от 25.02.2022) &quot;Об утверждении Порядка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в сфере градостроительной деятельности (за исключением территориального планирования) и Методики составления сметы контракта, предметом которого являются строительство, реконструкция объектов капитального строит ------------ Недействующая редакция {КонсультантПлюс}">
        <w:r>
          <w:rPr>
            <w:sz w:val="20"/>
            <w:color w:val="0000ff"/>
          </w:rPr>
          <w:t xml:space="preserve">слова</w:t>
        </w:r>
      </w:hyperlink>
      <w:r>
        <w:rPr>
          <w:sz w:val="20"/>
        </w:rPr>
        <w:t xml:space="preserve"> "с наименованием единицы измерения комплекс" исключить;</w:t>
      </w:r>
    </w:p>
    <w:p>
      <w:pPr>
        <w:pStyle w:val="0"/>
        <w:spacing w:before="200" w:line-rule="auto"/>
        <w:ind w:firstLine="540"/>
        <w:jc w:val="both"/>
      </w:pPr>
      <w:hyperlink w:history="0" r:id="rId81" w:tooltip="Приказ Минстроя России от 23.12.2019 N 841/пр (ред. от 25.02.2022) &quot;Об утверждении Порядка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в сфере градостроительной деятельности (за исключением территориального планирования) и Методики составления сметы контракта, предметом которого являются строительство, реконструкция объектов капитального строит ------------ Недействующая редакция {КонсультантПлюс}">
        <w:r>
          <w:rPr>
            <w:sz w:val="20"/>
            <w:color w:val="0000ff"/>
          </w:rPr>
          <w:t xml:space="preserve">дополнить</w:t>
        </w:r>
      </w:hyperlink>
      <w:r>
        <w:rPr>
          <w:sz w:val="20"/>
        </w:rPr>
        <w:t xml:space="preserve"> абзацем следующего содержания:</w:t>
      </w:r>
    </w:p>
    <w:p>
      <w:pPr>
        <w:pStyle w:val="0"/>
        <w:spacing w:before="200" w:line-rule="auto"/>
        <w:ind w:firstLine="540"/>
        <w:jc w:val="both"/>
      </w:pPr>
      <w:r>
        <w:rPr>
          <w:sz w:val="20"/>
        </w:rPr>
        <w:t xml:space="preserve">"По решению заказчика непредвиденные работы и затраты (если такие непредвиденные работы и затраты учтены при определении НМЦК) выделяются в смете контракта отдельной строкой в случаях, когда порядок расчетов по строке сметы контракта "непредвиденные работы и затраты" установлен контрактом.".</w:t>
      </w:r>
    </w:p>
    <w:p>
      <w:pPr>
        <w:pStyle w:val="0"/>
        <w:spacing w:before="200" w:line-rule="auto"/>
        <w:ind w:firstLine="540"/>
        <w:jc w:val="both"/>
      </w:pPr>
      <w:r>
        <w:rPr>
          <w:sz w:val="20"/>
        </w:rPr>
        <w:t xml:space="preserve">2.23. </w:t>
      </w:r>
      <w:hyperlink w:history="0" r:id="rId82" w:tooltip="Приказ Минстроя России от 23.12.2019 N 841/пр (ред. от 25.02.2022) &quot;Об утверждении Порядка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в сфере градостроительной деятельности (за исключением территориального планирования) и Методики составления сметы контракта, предметом которого являются строительство, реконструкция объектов капитального строит ------------ Недействующая редакция {КонсультантПлюс}">
        <w:r>
          <w:rPr>
            <w:sz w:val="20"/>
            <w:color w:val="0000ff"/>
          </w:rPr>
          <w:t xml:space="preserve">Пункты 38</w:t>
        </w:r>
      </w:hyperlink>
      <w:r>
        <w:rPr>
          <w:sz w:val="20"/>
        </w:rPr>
        <w:t xml:space="preserve"> и </w:t>
      </w:r>
      <w:hyperlink w:history="0" r:id="rId83" w:tooltip="Приказ Минстроя России от 23.12.2019 N 841/пр (ред. от 25.02.2022) &quot;Об утверждении Порядка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в сфере градостроительной деятельности (за исключением территориального планирования) и Методики составления сметы контракта, предметом которого являются строительство, реконструкция объектов капитального строит ------------ Недействующая редакция {КонсультантПлюс}">
        <w:r>
          <w:rPr>
            <w:sz w:val="20"/>
            <w:color w:val="0000ff"/>
          </w:rPr>
          <w:t xml:space="preserve">39</w:t>
        </w:r>
      </w:hyperlink>
      <w:r>
        <w:rPr>
          <w:sz w:val="20"/>
        </w:rPr>
        <w:t xml:space="preserve"> изложить в следующей редакции:</w:t>
      </w:r>
    </w:p>
    <w:p>
      <w:pPr>
        <w:pStyle w:val="0"/>
        <w:spacing w:before="200" w:line-rule="auto"/>
        <w:ind w:firstLine="540"/>
        <w:jc w:val="both"/>
      </w:pPr>
      <w:r>
        <w:rPr>
          <w:sz w:val="20"/>
        </w:rPr>
        <w:t xml:space="preserve">"38. Прочие работы и затраты, не учтенные в составе цены конструктивных решений (элементов), комплексов (видов) работ, объединяются в комплекс работ и выделяются отдельной строкой с единицей измерения "штука". В целях дополнительной детализации комплекса работ с единицей измерения "штука" из этого комплекса работ могут быть выделены отдельные виды работ и затрат, в случае если такое решение принято заказчиком.</w:t>
      </w:r>
    </w:p>
    <w:p>
      <w:pPr>
        <w:pStyle w:val="0"/>
        <w:spacing w:before="200" w:line-rule="auto"/>
        <w:ind w:firstLine="540"/>
        <w:jc w:val="both"/>
      </w:pPr>
      <w:r>
        <w:rPr>
          <w:sz w:val="20"/>
        </w:rPr>
        <w:t xml:space="preserve">39. Затраты на строительство титульных временных зданий и сооружений включаются в состав цены конструктивных решений (элементов) и (или) комплексов (видов) работ (за исключением прочих работ и затрат) или отображаются в смете контракта отдельной строкой с единицей измерения "штука" в случае, предусмотренном пунктом 41 Порядка.".</w:t>
      </w:r>
    </w:p>
    <w:p>
      <w:pPr>
        <w:pStyle w:val="0"/>
        <w:spacing w:before="200" w:line-rule="auto"/>
        <w:ind w:firstLine="540"/>
        <w:jc w:val="both"/>
      </w:pPr>
      <w:r>
        <w:rPr>
          <w:sz w:val="20"/>
        </w:rPr>
        <w:t xml:space="preserve">2.24. </w:t>
      </w:r>
      <w:hyperlink w:history="0" r:id="rId84" w:tooltip="Приказ Минстроя России от 23.12.2019 N 841/пр (ред. от 25.02.2022) &quot;Об утверждении Порядка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в сфере градостроительной деятельности (за исключением территориального планирования) и Методики составления сметы контракта, предметом которого являются строительство, реконструкция объектов капитального строит ------------ Недействующая редакция {КонсультантПлюс}">
        <w:r>
          <w:rPr>
            <w:sz w:val="20"/>
            <w:color w:val="0000ff"/>
          </w:rPr>
          <w:t xml:space="preserve">Пункт 41</w:t>
        </w:r>
      </w:hyperlink>
      <w:r>
        <w:rPr>
          <w:sz w:val="20"/>
        </w:rPr>
        <w:t xml:space="preserve"> изложить в следующей редакции:</w:t>
      </w:r>
    </w:p>
    <w:p>
      <w:pPr>
        <w:pStyle w:val="0"/>
        <w:spacing w:before="200" w:line-rule="auto"/>
        <w:ind w:firstLine="540"/>
        <w:jc w:val="both"/>
      </w:pPr>
      <w:r>
        <w:rPr>
          <w:sz w:val="20"/>
        </w:rPr>
        <w:t xml:space="preserve">"41. В случае, если в сводном сметном расчете стоимости строительства затраты на титульные временные здания и сооружения определялись по набору (перечню) зданий (сооружений) согласно проекту организации строительства, являющемуся разделом проектной документации, с составлением локальных смет, то такие затраты (с учетом затрат, связанных с удорожанием работ в зимнее время) отображаются в смете контракта отдельной строкой с единицей измерения "штука".".</w:t>
      </w:r>
    </w:p>
    <w:p>
      <w:pPr>
        <w:pStyle w:val="0"/>
        <w:spacing w:before="200" w:line-rule="auto"/>
        <w:ind w:firstLine="540"/>
        <w:jc w:val="both"/>
      </w:pPr>
      <w:r>
        <w:rPr>
          <w:sz w:val="20"/>
        </w:rPr>
        <w:t xml:space="preserve">2.25. В </w:t>
      </w:r>
      <w:hyperlink w:history="0" r:id="rId85" w:tooltip="Приказ Минстроя России от 23.12.2019 N 841/пр (ред. от 25.02.2022) &quot;Об утверждении Порядка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в сфере градостроительной деятельности (за исключением территориального планирования) и Методики составления сметы контракта, предметом которого являются строительство, реконструкция объектов капитального строит ------------ Недействующая редакция {КонсультантПлюс}">
        <w:r>
          <w:rPr>
            <w:sz w:val="20"/>
            <w:color w:val="0000ff"/>
          </w:rPr>
          <w:t xml:space="preserve">Приложении N 5</w:t>
        </w:r>
      </w:hyperlink>
      <w:r>
        <w:rPr>
          <w:sz w:val="20"/>
        </w:rPr>
        <w:t xml:space="preserve"> к Порядку:</w:t>
      </w:r>
    </w:p>
    <w:p>
      <w:pPr>
        <w:pStyle w:val="0"/>
        <w:spacing w:before="200" w:line-rule="auto"/>
        <w:ind w:firstLine="540"/>
        <w:jc w:val="both"/>
      </w:pPr>
      <w:r>
        <w:rPr>
          <w:sz w:val="20"/>
        </w:rPr>
        <w:t xml:space="preserve">а) </w:t>
      </w:r>
      <w:hyperlink w:history="0" r:id="rId86" w:tooltip="Приказ Минстроя России от 23.12.2019 N 841/пр (ред. от 25.02.2022) &quot;Об утверждении Порядка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в сфере градостроительной деятельности (за исключением территориального планирования) и Методики составления сметы контракта, предметом которого являются строительство, реконструкция объектов капитального строит ------------ Недействующая редакция {КонсультантПлюс}">
        <w:r>
          <w:rPr>
            <w:sz w:val="20"/>
            <w:color w:val="0000ff"/>
          </w:rPr>
          <w:t xml:space="preserve">название</w:t>
        </w:r>
      </w:hyperlink>
      <w:r>
        <w:rPr>
          <w:sz w:val="20"/>
        </w:rPr>
        <w:t xml:space="preserve"> Ведомости дополнить словом ", оборудования";</w:t>
      </w:r>
    </w:p>
    <w:p>
      <w:pPr>
        <w:pStyle w:val="0"/>
        <w:spacing w:before="200" w:line-rule="auto"/>
        <w:ind w:firstLine="540"/>
        <w:jc w:val="both"/>
      </w:pPr>
      <w:r>
        <w:rPr>
          <w:sz w:val="20"/>
        </w:rPr>
        <w:t xml:space="preserve">б) </w:t>
      </w:r>
      <w:hyperlink w:history="0" r:id="rId87" w:tooltip="Приказ Минстроя России от 23.12.2019 N 841/пр (ред. от 25.02.2022) &quot;Об утверждении Порядка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в сфере градостроительной деятельности (за исключением территориального планирования) и Методики составления сметы контракта, предметом которого являются строительство, реконструкция объектов капитального строит ------------ Недействующая редакция {КонсультантПлюс}">
        <w:r>
          <w:rPr>
            <w:sz w:val="20"/>
            <w:color w:val="0000ff"/>
          </w:rPr>
          <w:t xml:space="preserve">таблицу</w:t>
        </w:r>
      </w:hyperlink>
      <w:r>
        <w:rPr>
          <w:sz w:val="20"/>
        </w:rPr>
        <w:t xml:space="preserve"> изложить в следующей редакции:</w:t>
      </w:r>
    </w:p>
    <w:p>
      <w:pPr>
        <w:pStyle w:val="0"/>
        <w:jc w:val="both"/>
      </w:pPr>
      <w:r>
        <w:rPr>
          <w:sz w:val="20"/>
        </w:rPr>
      </w:r>
    </w:p>
    <w:p>
      <w:pPr>
        <w:pStyle w:val="0"/>
      </w:pPr>
      <w:r>
        <w:rPr>
          <w:sz w:val="20"/>
        </w:rPr>
        <w:t xml:space="preserve">"</w:t>
      </w:r>
    </w:p>
    <w:p>
      <w:pPr>
        <w:spacing w:before="0"/>
        <w:spacing w:after="1"/>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81"/>
        <w:gridCol w:w="3965"/>
        <w:gridCol w:w="2594"/>
        <w:gridCol w:w="928"/>
        <w:gridCol w:w="975"/>
      </w:tblGrid>
      <w:tr>
        <w:tc>
          <w:tcPr>
            <w:tcW w:w="581" w:type="dxa"/>
          </w:tcPr>
          <w:p>
            <w:pPr>
              <w:pStyle w:val="0"/>
              <w:jc w:val="center"/>
            </w:pPr>
            <w:r>
              <w:rPr>
                <w:sz w:val="20"/>
              </w:rPr>
              <w:t xml:space="preserve">N п/п</w:t>
            </w:r>
          </w:p>
        </w:tc>
        <w:tc>
          <w:tcPr>
            <w:tcW w:w="3965" w:type="dxa"/>
          </w:tcPr>
          <w:p>
            <w:pPr>
              <w:pStyle w:val="0"/>
              <w:jc w:val="center"/>
            </w:pPr>
            <w:r>
              <w:rPr>
                <w:sz w:val="20"/>
              </w:rPr>
              <w:t xml:space="preserve">Номера сметных расчетов (смет) и позиций в сметных расчетах (сметах), относящиеся к соответствующим конструктивным решениям (элементам), комплексам (видам) работ</w:t>
            </w:r>
          </w:p>
        </w:tc>
        <w:tc>
          <w:tcPr>
            <w:tcW w:w="2594" w:type="dxa"/>
          </w:tcPr>
          <w:p>
            <w:pPr>
              <w:pStyle w:val="0"/>
              <w:jc w:val="center"/>
            </w:pPr>
            <w:r>
              <w:rPr>
                <w:sz w:val="20"/>
              </w:rPr>
              <w:t xml:space="preserve">Наименование конструктивных решений (элементов), комплексов (видов) работ, оборудования &lt;1&gt;</w:t>
            </w:r>
          </w:p>
        </w:tc>
        <w:tc>
          <w:tcPr>
            <w:tcW w:w="928" w:type="dxa"/>
          </w:tcPr>
          <w:p>
            <w:pPr>
              <w:pStyle w:val="0"/>
              <w:jc w:val="center"/>
            </w:pPr>
            <w:r>
              <w:rPr>
                <w:sz w:val="20"/>
              </w:rPr>
              <w:t xml:space="preserve">Единица измерения</w:t>
            </w:r>
          </w:p>
        </w:tc>
        <w:tc>
          <w:tcPr>
            <w:tcW w:w="975" w:type="dxa"/>
          </w:tcPr>
          <w:p>
            <w:pPr>
              <w:pStyle w:val="0"/>
              <w:jc w:val="center"/>
            </w:pPr>
            <w:r>
              <w:rPr>
                <w:sz w:val="20"/>
              </w:rPr>
              <w:t xml:space="preserve">Количество (объем работ)</w:t>
            </w:r>
          </w:p>
        </w:tc>
      </w:tr>
      <w:tr>
        <w:tc>
          <w:tcPr>
            <w:tcW w:w="581" w:type="dxa"/>
          </w:tcPr>
          <w:p>
            <w:pPr>
              <w:pStyle w:val="0"/>
              <w:jc w:val="center"/>
            </w:pPr>
            <w:r>
              <w:rPr>
                <w:sz w:val="20"/>
              </w:rPr>
              <w:t xml:space="preserve">1</w:t>
            </w:r>
          </w:p>
        </w:tc>
        <w:tc>
          <w:tcPr>
            <w:tcW w:w="3965" w:type="dxa"/>
          </w:tcPr>
          <w:p>
            <w:pPr>
              <w:pStyle w:val="0"/>
              <w:jc w:val="center"/>
            </w:pPr>
            <w:r>
              <w:rPr>
                <w:sz w:val="20"/>
              </w:rPr>
              <w:t xml:space="preserve">2</w:t>
            </w:r>
          </w:p>
        </w:tc>
        <w:tc>
          <w:tcPr>
            <w:tcW w:w="2594" w:type="dxa"/>
          </w:tcPr>
          <w:p>
            <w:pPr>
              <w:pStyle w:val="0"/>
              <w:jc w:val="center"/>
            </w:pPr>
            <w:r>
              <w:rPr>
                <w:sz w:val="20"/>
              </w:rPr>
              <w:t xml:space="preserve">3</w:t>
            </w:r>
          </w:p>
        </w:tc>
        <w:tc>
          <w:tcPr>
            <w:tcW w:w="928" w:type="dxa"/>
          </w:tcPr>
          <w:p>
            <w:pPr>
              <w:pStyle w:val="0"/>
              <w:jc w:val="center"/>
            </w:pPr>
            <w:r>
              <w:rPr>
                <w:sz w:val="20"/>
              </w:rPr>
              <w:t xml:space="preserve">4</w:t>
            </w:r>
          </w:p>
        </w:tc>
        <w:tc>
          <w:tcPr>
            <w:tcW w:w="975" w:type="dxa"/>
          </w:tcPr>
          <w:p>
            <w:pPr>
              <w:pStyle w:val="0"/>
              <w:jc w:val="center"/>
            </w:pPr>
            <w:r>
              <w:rPr>
                <w:sz w:val="20"/>
              </w:rPr>
              <w:t xml:space="preserve">5</w:t>
            </w:r>
          </w:p>
        </w:tc>
      </w:tr>
      <w:tr>
        <w:tc>
          <w:tcPr>
            <w:tcW w:w="581" w:type="dxa"/>
          </w:tcPr>
          <w:p>
            <w:pPr>
              <w:pStyle w:val="0"/>
            </w:pPr>
            <w:r>
              <w:rPr>
                <w:sz w:val="20"/>
              </w:rPr>
            </w:r>
          </w:p>
        </w:tc>
        <w:tc>
          <w:tcPr>
            <w:tcW w:w="3965" w:type="dxa"/>
          </w:tcPr>
          <w:p>
            <w:pPr>
              <w:pStyle w:val="0"/>
            </w:pPr>
            <w:r>
              <w:rPr>
                <w:sz w:val="20"/>
              </w:rPr>
            </w:r>
          </w:p>
        </w:tc>
        <w:tc>
          <w:tcPr>
            <w:tcW w:w="2594" w:type="dxa"/>
          </w:tcPr>
          <w:p>
            <w:pPr>
              <w:pStyle w:val="0"/>
            </w:pPr>
            <w:r>
              <w:rPr>
                <w:sz w:val="20"/>
              </w:rPr>
            </w:r>
          </w:p>
        </w:tc>
        <w:tc>
          <w:tcPr>
            <w:tcW w:w="928" w:type="dxa"/>
          </w:tcPr>
          <w:p>
            <w:pPr>
              <w:pStyle w:val="0"/>
            </w:pPr>
            <w:r>
              <w:rPr>
                <w:sz w:val="20"/>
              </w:rPr>
            </w:r>
          </w:p>
        </w:tc>
        <w:tc>
          <w:tcPr>
            <w:tcW w:w="975" w:type="dxa"/>
          </w:tcPr>
          <w:p>
            <w:pPr>
              <w:pStyle w:val="0"/>
            </w:pPr>
            <w:r>
              <w:rPr>
                <w:sz w:val="20"/>
              </w:rPr>
            </w:r>
          </w:p>
        </w:tc>
      </w:tr>
      <w:tr>
        <w:tc>
          <w:tcPr>
            <w:tcW w:w="581" w:type="dxa"/>
          </w:tcPr>
          <w:p>
            <w:pPr>
              <w:pStyle w:val="0"/>
            </w:pPr>
            <w:r>
              <w:rPr>
                <w:sz w:val="20"/>
              </w:rPr>
            </w:r>
          </w:p>
        </w:tc>
        <w:tc>
          <w:tcPr>
            <w:tcW w:w="3965" w:type="dxa"/>
          </w:tcPr>
          <w:p>
            <w:pPr>
              <w:pStyle w:val="0"/>
            </w:pPr>
            <w:r>
              <w:rPr>
                <w:sz w:val="20"/>
              </w:rPr>
            </w:r>
          </w:p>
        </w:tc>
        <w:tc>
          <w:tcPr>
            <w:tcW w:w="2594" w:type="dxa"/>
          </w:tcPr>
          <w:p>
            <w:pPr>
              <w:pStyle w:val="0"/>
            </w:pPr>
            <w:r>
              <w:rPr>
                <w:sz w:val="20"/>
              </w:rPr>
            </w:r>
          </w:p>
        </w:tc>
        <w:tc>
          <w:tcPr>
            <w:tcW w:w="928" w:type="dxa"/>
          </w:tcPr>
          <w:p>
            <w:pPr>
              <w:pStyle w:val="0"/>
            </w:pPr>
            <w:r>
              <w:rPr>
                <w:sz w:val="20"/>
              </w:rPr>
            </w:r>
          </w:p>
        </w:tc>
        <w:tc>
          <w:tcPr>
            <w:tcW w:w="975" w:type="dxa"/>
          </w:tcPr>
          <w:p>
            <w:pPr>
              <w:pStyle w:val="0"/>
            </w:pPr>
            <w:r>
              <w:rPr>
                <w:sz w:val="20"/>
              </w:rPr>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1440"/>
        <w:gridCol w:w="340"/>
        <w:gridCol w:w="7247"/>
      </w:tblGrid>
      <w:tr>
        <w:tc>
          <w:tcPr>
            <w:tcW w:w="1440" w:type="dxa"/>
            <w:tcBorders>
              <w:top w:val="nil"/>
              <w:left w:val="nil"/>
              <w:bottom w:val="nil"/>
              <w:right w:val="nil"/>
            </w:tcBorders>
          </w:tcPr>
          <w:p>
            <w:pPr>
              <w:pStyle w:val="0"/>
            </w:pPr>
            <w:r>
              <w:rPr>
                <w:sz w:val="20"/>
              </w:rPr>
              <w:t xml:space="preserve">Составил</w:t>
            </w:r>
          </w:p>
        </w:tc>
        <w:tc>
          <w:tcPr>
            <w:tcW w:w="340" w:type="dxa"/>
            <w:tcBorders>
              <w:top w:val="nil"/>
              <w:left w:val="nil"/>
              <w:bottom w:val="nil"/>
              <w:right w:val="nil"/>
            </w:tcBorders>
          </w:tcPr>
          <w:p>
            <w:pPr>
              <w:pStyle w:val="0"/>
            </w:pPr>
            <w:r>
              <w:rPr>
                <w:sz w:val="20"/>
              </w:rPr>
            </w:r>
          </w:p>
        </w:tc>
        <w:tc>
          <w:tcPr>
            <w:tcW w:w="7247" w:type="dxa"/>
            <w:tcBorders>
              <w:top w:val="nil"/>
              <w:left w:val="nil"/>
              <w:bottom w:val="single" w:sz="4"/>
              <w:right w:val="nil"/>
            </w:tcBorders>
          </w:tcPr>
          <w:p>
            <w:pPr>
              <w:pStyle w:val="0"/>
            </w:pPr>
            <w:r>
              <w:rPr>
                <w:sz w:val="20"/>
              </w:rPr>
            </w:r>
          </w:p>
        </w:tc>
      </w:tr>
      <w:tr>
        <w:tc>
          <w:tcPr>
            <w:tcW w:w="1440"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7247" w:type="dxa"/>
            <w:tcBorders>
              <w:top w:val="single" w:sz="4"/>
              <w:left w:val="nil"/>
              <w:bottom w:val="nil"/>
              <w:right w:val="nil"/>
            </w:tcBorders>
          </w:tcPr>
          <w:p>
            <w:pPr>
              <w:pStyle w:val="0"/>
              <w:jc w:val="center"/>
            </w:pPr>
            <w:r>
              <w:rPr>
                <w:sz w:val="20"/>
              </w:rPr>
              <w:t xml:space="preserve">(должность, подпись, инициалы, фамилия)</w:t>
            </w:r>
          </w:p>
        </w:tc>
      </w:tr>
      <w:tr>
        <w:tc>
          <w:tcPr>
            <w:tcW w:w="1440" w:type="dxa"/>
            <w:tcBorders>
              <w:top w:val="nil"/>
              <w:left w:val="nil"/>
              <w:bottom w:val="nil"/>
              <w:right w:val="nil"/>
            </w:tcBorders>
          </w:tcPr>
          <w:p>
            <w:pPr>
              <w:pStyle w:val="0"/>
            </w:pPr>
            <w:r>
              <w:rPr>
                <w:sz w:val="20"/>
              </w:rPr>
              <w:t xml:space="preserve">Проверил</w:t>
            </w:r>
          </w:p>
        </w:tc>
        <w:tc>
          <w:tcPr>
            <w:tcW w:w="340" w:type="dxa"/>
            <w:tcBorders>
              <w:top w:val="nil"/>
              <w:left w:val="nil"/>
              <w:bottom w:val="nil"/>
              <w:right w:val="nil"/>
            </w:tcBorders>
          </w:tcPr>
          <w:p>
            <w:pPr>
              <w:pStyle w:val="0"/>
            </w:pPr>
            <w:r>
              <w:rPr>
                <w:sz w:val="20"/>
              </w:rPr>
            </w:r>
          </w:p>
        </w:tc>
        <w:tc>
          <w:tcPr>
            <w:tcW w:w="7247" w:type="dxa"/>
            <w:tcBorders>
              <w:top w:val="nil"/>
              <w:left w:val="nil"/>
              <w:bottom w:val="single" w:sz="4"/>
              <w:right w:val="nil"/>
            </w:tcBorders>
          </w:tcPr>
          <w:p>
            <w:pPr>
              <w:pStyle w:val="0"/>
            </w:pPr>
            <w:r>
              <w:rPr>
                <w:sz w:val="20"/>
              </w:rPr>
            </w:r>
          </w:p>
        </w:tc>
      </w:tr>
      <w:tr>
        <w:tc>
          <w:tcPr>
            <w:tcW w:w="1440"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7247" w:type="dxa"/>
            <w:tcBorders>
              <w:top w:val="single" w:sz="4"/>
              <w:left w:val="nil"/>
              <w:bottom w:val="nil"/>
              <w:right w:val="nil"/>
            </w:tcBorders>
          </w:tcPr>
          <w:p>
            <w:pPr>
              <w:pStyle w:val="0"/>
              <w:jc w:val="center"/>
            </w:pPr>
            <w:r>
              <w:rPr>
                <w:sz w:val="20"/>
              </w:rPr>
              <w:t xml:space="preserve">(должность, подпись, инициалы, фамилия)</w:t>
            </w:r>
          </w:p>
        </w:tc>
      </w:tr>
    </w:tbl>
    <w:p>
      <w:pPr>
        <w:pStyle w:val="0"/>
        <w:jc w:val="both"/>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&lt;1&gt; Наименование оборудования указывается в случае его выделения отдельной строкой в соответствии с подпунктом "б" пункта 31 Порядка определения начальной (максимальной)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в сфере градостроительной деятельности (за исключением территориального планирования), утвержденного приказом Министерства строительства и жилищно-коммунального хозяйства Российской Федерации от 23 декабря 2019 г. N 841/пр (зарегистрирован Министерством юстиции Российской Федерации 3 февраля 2020 г., регистрационный N 57401) с изменениями, внесенными приказами Министерства строительства и жилищно-коммунального хозяйства Российской Федерации от 21 июля 2021 г. N 500/пр (зарегистрирован Министерством юстиции Российской Федерации 13 августа 2021 г., регистрационный N 64642), от 7 октября 2021 г. N 728/пр (зарегистрирован Министерством юстиции Российской Федерации 2 декабря 2021 г., регистрационный N 66180), от 25 февраля 2022 г. N 124/пр (зарегистрирован Министерством юстиции Российской Федерации 27 апреля 2022 г., регистрационный N 68345).".</w:t>
      </w:r>
    </w:p>
    <w:p>
      <w:pPr>
        <w:pStyle w:val="0"/>
        <w:jc w:val="both"/>
      </w:pPr>
      <w:r>
        <w:rPr>
          <w:sz w:val="20"/>
        </w:rPr>
      </w:r>
    </w:p>
    <w:p>
      <w:pPr>
        <w:pStyle w:val="0"/>
        <w:ind w:firstLine="540"/>
        <w:jc w:val="both"/>
      </w:pPr>
      <w:r>
        <w:rPr>
          <w:sz w:val="20"/>
        </w:rPr>
        <w:t xml:space="preserve">2.26. </w:t>
      </w:r>
      <w:hyperlink w:history="0" r:id="rId88" w:tooltip="Приказ Минстроя России от 23.12.2019 N 841/пр (ред. от 25.02.2022) &quot;Об утверждении Порядка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в сфере градостроительной деятельности (за исключением территориального планирования) и Методики составления сметы контракта, предметом которого являются строительство, реконструкция объектов капитального строит ------------ Недействующая редакция {КонсультантПлюс}">
        <w:r>
          <w:rPr>
            <w:sz w:val="20"/>
            <w:color w:val="0000ff"/>
          </w:rPr>
          <w:t xml:space="preserve">Приложение N 6</w:t>
        </w:r>
      </w:hyperlink>
      <w:r>
        <w:rPr>
          <w:sz w:val="20"/>
        </w:rPr>
        <w:t xml:space="preserve"> к Порядку изложить в редакции согласно </w:t>
      </w:r>
      <w:hyperlink w:history="0" w:anchor="P450" w:tooltip="Проект сметы контракта">
        <w:r>
          <w:rPr>
            <w:sz w:val="20"/>
            <w:color w:val="0000ff"/>
          </w:rPr>
          <w:t xml:space="preserve">приложению N 1</w:t>
        </w:r>
      </w:hyperlink>
      <w:r>
        <w:rPr>
          <w:sz w:val="20"/>
        </w:rPr>
        <w:t xml:space="preserve"> к настоящим изменениям.</w:t>
      </w:r>
    </w:p>
    <w:p>
      <w:pPr>
        <w:pStyle w:val="0"/>
        <w:spacing w:before="200" w:line-rule="auto"/>
        <w:ind w:firstLine="540"/>
        <w:jc w:val="both"/>
      </w:pPr>
      <w:r>
        <w:rPr>
          <w:sz w:val="20"/>
        </w:rPr>
        <w:t xml:space="preserve">3. В </w:t>
      </w:r>
      <w:hyperlink w:history="0" r:id="rId89" w:tooltip="Приказ Минстроя России от 23.12.2019 N 841/пр (ред. от 25.02.2022) &quot;Об утверждении Порядка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в сфере градостроительной деятельности (за исключением территориального планирования) и Методики составления сметы контракта, предметом которого являются строительство, реконструкция объектов капитального строит ------------ Недействующая редакция {КонсультантПлюс}">
        <w:r>
          <w:rPr>
            <w:sz w:val="20"/>
            <w:color w:val="0000ff"/>
          </w:rPr>
          <w:t xml:space="preserve">Методике</w:t>
        </w:r>
      </w:hyperlink>
      <w:r>
        <w:rPr>
          <w:sz w:val="20"/>
        </w:rPr>
        <w:t xml:space="preserve"> составления сметы контракта, предметом которого являются строительство, реконструкция объектов капитального строительства, утвержденной приказом N 841/пр:</w:t>
      </w:r>
    </w:p>
    <w:p>
      <w:pPr>
        <w:pStyle w:val="0"/>
        <w:spacing w:before="200" w:line-rule="auto"/>
        <w:ind w:firstLine="540"/>
        <w:jc w:val="both"/>
      </w:pPr>
      <w:r>
        <w:rPr>
          <w:sz w:val="20"/>
        </w:rPr>
        <w:t xml:space="preserve">3.1. </w:t>
      </w:r>
      <w:hyperlink w:history="0" r:id="rId90" w:tooltip="Приказ Минстроя России от 23.12.2019 N 841/пр (ред. от 25.02.2022) &quot;Об утверждении Порядка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в сфере градостроительной деятельности (за исключением территориального планирования) и Методики составления сметы контракта, предметом которого являются строительство, реконструкция объектов капитального строит ------------ Недействующая редакция {КонсультантПлюс}">
        <w:r>
          <w:rPr>
            <w:sz w:val="20"/>
            <w:color w:val="0000ff"/>
          </w:rPr>
          <w:t xml:space="preserve">Пункт 2</w:t>
        </w:r>
      </w:hyperlink>
      <w:r>
        <w:rPr>
          <w:sz w:val="20"/>
        </w:rPr>
        <w:t xml:space="preserve"> дополнить абзацем следующего содержания:</w:t>
      </w:r>
    </w:p>
    <w:p>
      <w:pPr>
        <w:pStyle w:val="0"/>
        <w:spacing w:before="200" w:line-rule="auto"/>
        <w:ind w:firstLine="540"/>
        <w:jc w:val="both"/>
      </w:pPr>
      <w:r>
        <w:rPr>
          <w:sz w:val="20"/>
        </w:rPr>
        <w:t xml:space="preserve">"Методика используется при составлении сметы контракта на выполнение подрядных работ на текущий ремонт зданий, строений, сооружений, помещений, расположенных на территории Российской Федерации, если в составе извещения об осуществлении закупки, документации о закупке (в случае, если Федеральным </w:t>
      </w:r>
      <w:hyperlink w:history="0" r:id="rId91" w:tooltip="Федеральный закон от 05.04.2013 N 44-ФЗ (ред. от 14.07.2022)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2022, N 29, ст. 5239) (далее - Федеральный закон N 44-ФЗ) предусмотрена документация о закупке) размещен проект сметы контракта, подготовленный в соответствии с Порядком.".</w:t>
      </w:r>
    </w:p>
    <w:p>
      <w:pPr>
        <w:pStyle w:val="0"/>
        <w:spacing w:before="200" w:line-rule="auto"/>
        <w:ind w:firstLine="540"/>
        <w:jc w:val="both"/>
      </w:pPr>
      <w:r>
        <w:rPr>
          <w:sz w:val="20"/>
        </w:rPr>
        <w:t xml:space="preserve">3.2. В </w:t>
      </w:r>
      <w:hyperlink w:history="0" r:id="rId92" w:tooltip="Приказ Минстроя России от 23.12.2019 N 841/пр (ред. от 25.02.2022) &quot;Об утверждении Порядка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в сфере градостроительной деятельности (за исключением территориального планирования) и Методики составления сметы контракта, предметом которого являются строительство, реконструкция объектов капитального строит ------------ Недействующая редакция {КонсультантПлюс}">
        <w:r>
          <w:rPr>
            <w:sz w:val="20"/>
            <w:color w:val="0000ff"/>
          </w:rPr>
          <w:t xml:space="preserve">пункте 3</w:t>
        </w:r>
      </w:hyperlink>
      <w:r>
        <w:rPr>
          <w:sz w:val="20"/>
        </w:rPr>
        <w:t xml:space="preserve">:</w:t>
      </w:r>
    </w:p>
    <w:p>
      <w:pPr>
        <w:pStyle w:val="0"/>
        <w:spacing w:before="200" w:line-rule="auto"/>
        <w:ind w:firstLine="540"/>
        <w:jc w:val="both"/>
      </w:pPr>
      <w:r>
        <w:rPr>
          <w:sz w:val="20"/>
        </w:rPr>
        <w:t xml:space="preserve">после слов "(видов) работ" </w:t>
      </w:r>
      <w:hyperlink w:history="0" r:id="rId93" w:tooltip="Приказ Минстроя России от 23.12.2019 N 841/пр (ред. от 25.02.2022) &quot;Об утверждении Порядка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в сфере градостроительной деятельности (за исключением территориального планирования) и Методики составления сметы контракта, предметом которого являются строительство, реконструкция объектов капитального строит ------------ Недействующая редакция {КонсультантПлюс}">
        <w:r>
          <w:rPr>
            <w:sz w:val="20"/>
            <w:color w:val="0000ff"/>
          </w:rPr>
          <w:t xml:space="preserve">дополнить</w:t>
        </w:r>
      </w:hyperlink>
      <w:r>
        <w:rPr>
          <w:sz w:val="20"/>
        </w:rPr>
        <w:t xml:space="preserve"> словами ", оборудования, не входящего в состав конструктивного элемента";</w:t>
      </w:r>
    </w:p>
    <w:p>
      <w:pPr>
        <w:pStyle w:val="0"/>
        <w:spacing w:before="200" w:line-rule="auto"/>
        <w:ind w:firstLine="540"/>
        <w:jc w:val="both"/>
      </w:pPr>
      <w:hyperlink w:history="0" r:id="rId94" w:tooltip="Приказ Минстроя России от 23.12.2019 N 841/пр (ред. от 25.02.2022) &quot;Об утверждении Порядка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в сфере градостроительной деятельности (за исключением территориального планирования) и Методики составления сметы контракта, предметом которого являются строительство, реконструкция объектов капитального строит ------------ Недействующая редакция {КонсультантПлюс}">
        <w:r>
          <w:rPr>
            <w:sz w:val="20"/>
            <w:color w:val="0000ff"/>
          </w:rPr>
          <w:t xml:space="preserve">дополнить</w:t>
        </w:r>
      </w:hyperlink>
      <w:r>
        <w:rPr>
          <w:sz w:val="20"/>
        </w:rPr>
        <w:t xml:space="preserve"> абзацем:</w:t>
      </w:r>
    </w:p>
    <w:p>
      <w:pPr>
        <w:pStyle w:val="0"/>
        <w:spacing w:before="200" w:line-rule="auto"/>
        <w:ind w:firstLine="540"/>
        <w:jc w:val="both"/>
      </w:pPr>
      <w:r>
        <w:rPr>
          <w:sz w:val="20"/>
        </w:rPr>
        <w:t xml:space="preserve">"Цена на единицу измерения и общая стоимость определяются (в рублях) путем уменьшения соответственно цены на единицу измерения и общей стоимости, указанных в проекте сметы контракта, пропорционально снижению начальной (максимальной) цены контракта, предложенной подрядчиком.".</w:t>
      </w:r>
    </w:p>
    <w:p>
      <w:pPr>
        <w:pStyle w:val="0"/>
        <w:spacing w:before="200" w:line-rule="auto"/>
        <w:ind w:firstLine="540"/>
        <w:jc w:val="both"/>
      </w:pPr>
      <w:r>
        <w:rPr>
          <w:sz w:val="20"/>
        </w:rPr>
        <w:t xml:space="preserve">3.3. </w:t>
      </w:r>
      <w:hyperlink w:history="0" r:id="rId95" w:tooltip="Приказ Минстроя России от 23.12.2019 N 841/пр (ред. от 25.02.2022) &quot;Об утверждении Порядка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в сфере градостроительной деятельности (за исключением территориального планирования) и Методики составления сметы контракта, предметом которого являются строительство, реконструкция объектов капитального строит ------------ Недействующая редакция {КонсультантПлюс}">
        <w:r>
          <w:rPr>
            <w:sz w:val="20"/>
            <w:color w:val="0000ff"/>
          </w:rPr>
          <w:t xml:space="preserve">Пункт 6</w:t>
        </w:r>
      </w:hyperlink>
      <w:r>
        <w:rPr>
          <w:sz w:val="20"/>
        </w:rPr>
        <w:t xml:space="preserve"> после слов "регистрационный N 51079)" дополнить словами "(далее - приказ Министерства строительства и жилищно-коммунального хозяйства Российской Федерации N 1470/пр)".</w:t>
      </w:r>
    </w:p>
    <w:p>
      <w:pPr>
        <w:pStyle w:val="0"/>
        <w:spacing w:before="200" w:line-rule="auto"/>
        <w:ind w:firstLine="540"/>
        <w:jc w:val="both"/>
      </w:pPr>
      <w:r>
        <w:rPr>
          <w:sz w:val="20"/>
        </w:rPr>
        <w:t xml:space="preserve">3.4. В </w:t>
      </w:r>
      <w:hyperlink w:history="0" r:id="rId96" w:tooltip="Приказ Минстроя России от 23.12.2019 N 841/пр (ред. от 25.02.2022) &quot;Об утверждении Порядка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в сфере градостроительной деятельности (за исключением территориального планирования) и Методики составления сметы контракта, предметом которого являются строительство, реконструкция объектов капитального строит ------------ Недействующая редакция {КонсультантПлюс}">
        <w:r>
          <w:rPr>
            <w:sz w:val="20"/>
            <w:color w:val="0000ff"/>
          </w:rPr>
          <w:t xml:space="preserve">пункте 7</w:t>
        </w:r>
      </w:hyperlink>
      <w:r>
        <w:rPr>
          <w:sz w:val="20"/>
        </w:rPr>
        <w:t xml:space="preserve"> слова "законодательством Российской Федерации о бухгалтерском и налоговом учете, в том числе используемых для расчетов между заказчиком и подрядчиком за выполненные работы, а также при проверке выполненных работ контролирующими органами" заменить словами "законодательством Российской Федерации о налогах и сборах, законодательством Российской Федерации о бухгалтерском учете, которые используются, в том числе для расчетов между заказчиком и подрядчиком за выполненные работы и при проверке выполненных работ контролирующими органами".</w:t>
      </w:r>
    </w:p>
    <w:p>
      <w:pPr>
        <w:pStyle w:val="0"/>
        <w:spacing w:before="200" w:line-rule="auto"/>
        <w:ind w:firstLine="540"/>
        <w:jc w:val="both"/>
      </w:pPr>
      <w:r>
        <w:rPr>
          <w:sz w:val="20"/>
        </w:rPr>
        <w:t xml:space="preserve">3.5. </w:t>
      </w:r>
      <w:hyperlink w:history="0" r:id="rId97" w:tooltip="Приказ Минстроя России от 23.12.2019 N 841/пр (ред. от 25.02.2022) &quot;Об утверждении Порядка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в сфере градостроительной деятельности (за исключением территориального планирования) и Методики составления сметы контракта, предметом которого являются строительство, реконструкция объектов капитального строит ------------ Недействующая редакция {КонсультантПлюс}">
        <w:r>
          <w:rPr>
            <w:sz w:val="20"/>
            <w:color w:val="0000ff"/>
          </w:rPr>
          <w:t xml:space="preserve">Пункт 8</w:t>
        </w:r>
      </w:hyperlink>
      <w:r>
        <w:rPr>
          <w:sz w:val="20"/>
        </w:rPr>
        <w:t xml:space="preserve"> изложить в следующей редакции:</w:t>
      </w:r>
    </w:p>
    <w:p>
      <w:pPr>
        <w:pStyle w:val="0"/>
        <w:spacing w:before="200" w:line-rule="auto"/>
        <w:ind w:firstLine="540"/>
        <w:jc w:val="both"/>
      </w:pPr>
      <w:r>
        <w:rPr>
          <w:sz w:val="20"/>
        </w:rPr>
        <w:t xml:space="preserve">"8. Внесение изменений в смету контракта осуществляется в соответствии с пунктами 9 - 12, 14, 14.1, 14.2 и 14.3 Методики в случаях, установленных Федеральным </w:t>
      </w:r>
      <w:hyperlink w:history="0" r:id="rId98" w:tooltip="Федеральный закон от 05.04.2013 N 44-ФЗ (ред. от 14.07.2022)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N 44-ФЗ.".</w:t>
      </w:r>
    </w:p>
    <w:p>
      <w:pPr>
        <w:pStyle w:val="0"/>
        <w:spacing w:before="200" w:line-rule="auto"/>
        <w:ind w:firstLine="540"/>
        <w:jc w:val="both"/>
      </w:pPr>
      <w:r>
        <w:rPr>
          <w:sz w:val="20"/>
        </w:rPr>
        <w:t xml:space="preserve">3.6. </w:t>
      </w:r>
      <w:hyperlink w:history="0" r:id="rId99" w:tooltip="Приказ Минстроя России от 23.12.2019 N 841/пр (ред. от 25.02.2022) &quot;Об утверждении Порядка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в сфере градостроительной деятельности (за исключением территориального планирования) и Методики составления сметы контракта, предметом которого являются строительство, реконструкция объектов капитального строит ------------ Недействующая редакция {КонсультантПлюс}">
        <w:r>
          <w:rPr>
            <w:sz w:val="20"/>
            <w:color w:val="0000ff"/>
          </w:rPr>
          <w:t xml:space="preserve">Пункт 9</w:t>
        </w:r>
      </w:hyperlink>
      <w:r>
        <w:rPr>
          <w:sz w:val="20"/>
        </w:rPr>
        <w:t xml:space="preserve"> изложить в следующей редакции:</w:t>
      </w:r>
    </w:p>
    <w:p>
      <w:pPr>
        <w:pStyle w:val="0"/>
        <w:spacing w:before="200" w:line-rule="auto"/>
        <w:ind w:firstLine="540"/>
        <w:jc w:val="both"/>
      </w:pPr>
      <w:r>
        <w:rPr>
          <w:sz w:val="20"/>
        </w:rPr>
        <w:t xml:space="preserve">"9. В случае внесения изменений в проектную документацию, влекущих изменение объемов конструктивного решения (элемента), комплекса (вида) работ, количества оборудования, предусмотренных сметой контракта, общая стоимость соответствующего конструктивного решения (элемента), комплекса (вида) работ, оборудования определяется исходя из установленной в смете контракта цены единицы измерения данного конструктивного решения (элемента), комплекса (вида) работ, оборудования с учетом внесенных изменений.".</w:t>
      </w:r>
    </w:p>
    <w:p>
      <w:pPr>
        <w:pStyle w:val="0"/>
        <w:spacing w:before="200" w:line-rule="auto"/>
        <w:ind w:firstLine="540"/>
        <w:jc w:val="both"/>
      </w:pPr>
      <w:r>
        <w:rPr>
          <w:sz w:val="20"/>
        </w:rPr>
        <w:t xml:space="preserve">3.7. </w:t>
      </w:r>
      <w:hyperlink w:history="0" r:id="rId100" w:tooltip="Приказ Минстроя России от 23.12.2019 N 841/пр (ред. от 25.02.2022) &quot;Об утверждении Порядка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в сфере градостроительной деятельности (за исключением территориального планирования) и Методики составления сметы контракта, предметом которого являются строительство, реконструкция объектов капитального строит ------------ Недействующая редакция {КонсультантПлюс}">
        <w:r>
          <w:rPr>
            <w:sz w:val="20"/>
            <w:color w:val="0000ff"/>
          </w:rPr>
          <w:t xml:space="preserve">Дополнить</w:t>
        </w:r>
      </w:hyperlink>
      <w:r>
        <w:rPr>
          <w:sz w:val="20"/>
        </w:rPr>
        <w:t xml:space="preserve"> пунктом 9.1 следующего содержания:</w:t>
      </w:r>
    </w:p>
    <w:p>
      <w:pPr>
        <w:pStyle w:val="0"/>
        <w:spacing w:before="200" w:line-rule="auto"/>
        <w:ind w:firstLine="540"/>
        <w:jc w:val="both"/>
      </w:pPr>
      <w:r>
        <w:rPr>
          <w:sz w:val="20"/>
        </w:rPr>
        <w:t xml:space="preserve">"9.1. Работы и затраты, объединенные в комплекс работ и учтенные в смете контракта отдельной строкой с единицей измерения "штука", могут быть разукрупнены и детализированы в случае, если такое решение принято заказчиком. При этом сумма цены таких работ не может превышать цену такого комплекса работ до его разукрупнения. При детализации конструктивных решений (элементов), комплексов (видов) работ, объединенных в комплекс работ с единицей измерения "штука", из этого комплекса работ также могут быть выделены отдельные виды работ и затрат в случае, если такое решение принято заказчиком.</w:t>
      </w:r>
    </w:p>
    <w:p>
      <w:pPr>
        <w:pStyle w:val="0"/>
        <w:spacing w:before="200" w:line-rule="auto"/>
        <w:ind w:firstLine="540"/>
        <w:jc w:val="both"/>
      </w:pPr>
      <w:r>
        <w:rPr>
          <w:sz w:val="20"/>
        </w:rPr>
        <w:t xml:space="preserve">При разукрупнении работ и затрат внутри комплекса работ необходимым условием является установление законченности всего объема работ, подтверждающее качество и работоспособность законченных конструктивных решений (элементов), комплексов (видов) работ, включая необходимые испытания, установленные проектной документацией, рабочей документацией (при наличии).".</w:t>
      </w:r>
    </w:p>
    <w:p>
      <w:pPr>
        <w:pStyle w:val="0"/>
        <w:spacing w:before="200" w:line-rule="auto"/>
        <w:ind w:firstLine="540"/>
        <w:jc w:val="both"/>
      </w:pPr>
      <w:r>
        <w:rPr>
          <w:sz w:val="20"/>
        </w:rPr>
        <w:t xml:space="preserve">3.8. </w:t>
      </w:r>
      <w:hyperlink w:history="0" r:id="rId101" w:tooltip="Приказ Минстроя России от 23.12.2019 N 841/пр (ред. от 25.02.2022) &quot;Об утверждении Порядка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в сфере градостроительной деятельности (за исключением территориального планирования) и Методики составления сметы контракта, предметом которого являются строительство, реконструкция объектов капитального строит ------------ Недействующая редакция {КонсультантПлюс}">
        <w:r>
          <w:rPr>
            <w:sz w:val="20"/>
            <w:color w:val="0000ff"/>
          </w:rPr>
          <w:t xml:space="preserve">Пункт 10</w:t>
        </w:r>
      </w:hyperlink>
      <w:r>
        <w:rPr>
          <w:sz w:val="20"/>
        </w:rPr>
        <w:t xml:space="preserve"> изложить в следующей редакции:</w:t>
      </w:r>
    </w:p>
    <w:p>
      <w:pPr>
        <w:pStyle w:val="0"/>
        <w:spacing w:before="200" w:line-rule="auto"/>
        <w:ind w:firstLine="540"/>
        <w:jc w:val="both"/>
      </w:pPr>
      <w:r>
        <w:rPr>
          <w:sz w:val="20"/>
        </w:rPr>
        <w:t xml:space="preserve">"10. В случае внесения изменений в проектную документацию в связи с включением в нее ранее не предусмотренных такой проектной документацией видов работ и (или) затрат цена таких работ, затрат определяется с использованием соответствующих сметных нормативов и сметных цен, а также методических и других документов в сфере ценообразования и сметного нормирования в области градостроительной деятельности, действующих на дату внесения изменений, применяемых с учетом положений </w:t>
      </w:r>
      <w:hyperlink w:history="0" r:id="rId102"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статьи 3</w:t>
        </w:r>
      </w:hyperlink>
      <w:r>
        <w:rPr>
          <w:sz w:val="20"/>
        </w:rPr>
        <w:t xml:space="preserve"> Федерального закона N 191-ФЗ "О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 (Собрание законодательства Российской Федерации, 2017, N 31, ст. 4740; 2019, N 26, ст. 3318) (далее - Федеральный закон N 191-ФЗ), с учетом затрат, включенных в состав цены конструктивных решений (элементов), комплексов (видов) работ (Ц</w:t>
      </w:r>
      <w:r>
        <w:rPr>
          <w:sz w:val="20"/>
          <w:vertAlign w:val="subscript"/>
        </w:rPr>
        <w:t xml:space="preserve">доп. раб.</w:t>
      </w:r>
      <w:r>
        <w:rPr>
          <w:sz w:val="20"/>
        </w:rPr>
        <w:t xml:space="preserve">), по формуле:</w:t>
      </w:r>
    </w:p>
    <w:p>
      <w:pPr>
        <w:pStyle w:val="0"/>
        <w:jc w:val="both"/>
      </w:pPr>
      <w:r>
        <w:rPr>
          <w:sz w:val="20"/>
        </w:rPr>
      </w:r>
    </w:p>
    <w:p>
      <w:pPr>
        <w:pStyle w:val="0"/>
        <w:jc w:val="center"/>
      </w:pPr>
      <w:r>
        <w:rPr>
          <w:sz w:val="20"/>
        </w:rPr>
        <w:t xml:space="preserve">Ц</w:t>
      </w:r>
      <w:r>
        <w:rPr>
          <w:sz w:val="20"/>
          <w:vertAlign w:val="subscript"/>
        </w:rPr>
        <w:t xml:space="preserve">доп. раб.</w:t>
      </w:r>
      <w:r>
        <w:rPr>
          <w:sz w:val="20"/>
        </w:rPr>
        <w:t xml:space="preserve"> = Ц</w:t>
      </w:r>
      <w:r>
        <w:rPr>
          <w:sz w:val="20"/>
          <w:vertAlign w:val="subscript"/>
        </w:rPr>
        <w:t xml:space="preserve">подр. раб.</w:t>
      </w:r>
      <w:r>
        <w:rPr>
          <w:sz w:val="20"/>
        </w:rPr>
        <w:t xml:space="preserve"> x К</w:t>
      </w:r>
      <w:r>
        <w:rPr>
          <w:sz w:val="20"/>
          <w:vertAlign w:val="subscript"/>
        </w:rPr>
        <w:t xml:space="preserve">инф.</w:t>
      </w:r>
      <w:r>
        <w:rPr>
          <w:sz w:val="20"/>
        </w:rPr>
        <w:t xml:space="preserve"> x К</w:t>
      </w:r>
      <w:r>
        <w:rPr>
          <w:sz w:val="20"/>
          <w:vertAlign w:val="subscript"/>
        </w:rPr>
        <w:t xml:space="preserve">тенд.</w:t>
      </w:r>
      <w:r>
        <w:rPr>
          <w:sz w:val="20"/>
        </w:rPr>
        <w:t xml:space="preserve">,</w:t>
      </w:r>
    </w:p>
    <w:p>
      <w:pPr>
        <w:pStyle w:val="0"/>
        <w:jc w:val="both"/>
      </w:pPr>
      <w:r>
        <w:rPr>
          <w:sz w:val="20"/>
        </w:rPr>
      </w:r>
    </w:p>
    <w:tbl>
      <w:tblPr>
        <w:tblInd w:w="0" w:type="dxa"/>
        <w:tblLayout w:type="fixed"/>
        <w:tblCellMar>
          <w:top w:w="102" w:type="dxa"/>
          <w:left w:w="62" w:type="dxa"/>
          <w:bottom w:w="102" w:type="dxa"/>
          <w:right w:w="62" w:type="dxa"/>
        </w:tblCellMar>
      </w:tblPr>
      <w:tblGrid>
        <w:gridCol w:w="525"/>
        <w:gridCol w:w="1110"/>
        <w:gridCol w:w="340"/>
        <w:gridCol w:w="7070"/>
      </w:tblGrid>
      <w:tr>
        <w:tc>
          <w:tcPr>
            <w:tcW w:w="525" w:type="dxa"/>
            <w:tcBorders>
              <w:top w:val="nil"/>
              <w:left w:val="nil"/>
              <w:bottom w:val="nil"/>
              <w:right w:val="nil"/>
            </w:tcBorders>
          </w:tcPr>
          <w:p>
            <w:pPr>
              <w:pStyle w:val="0"/>
            </w:pPr>
            <w:r>
              <w:rPr>
                <w:sz w:val="20"/>
              </w:rPr>
            </w:r>
          </w:p>
        </w:tc>
        <w:tc>
          <w:tcPr>
            <w:tcW w:w="1110" w:type="dxa"/>
            <w:tcBorders>
              <w:top w:val="nil"/>
              <w:left w:val="nil"/>
              <w:bottom w:val="nil"/>
              <w:right w:val="nil"/>
            </w:tcBorders>
          </w:tcPr>
          <w:p>
            <w:pPr>
              <w:pStyle w:val="0"/>
              <w:jc w:val="both"/>
            </w:pPr>
            <w:r>
              <w:rPr>
                <w:sz w:val="20"/>
              </w:rPr>
              <w:t xml:space="preserve">где:</w:t>
            </w:r>
          </w:p>
        </w:tc>
        <w:tc>
          <w:tcPr>
            <w:tcW w:w="340" w:type="dxa"/>
            <w:tcBorders>
              <w:top w:val="nil"/>
              <w:left w:val="nil"/>
              <w:bottom w:val="nil"/>
              <w:right w:val="nil"/>
            </w:tcBorders>
          </w:tcPr>
          <w:p>
            <w:pPr>
              <w:pStyle w:val="0"/>
            </w:pPr>
            <w:r>
              <w:rPr>
                <w:sz w:val="20"/>
              </w:rPr>
            </w:r>
          </w:p>
        </w:tc>
        <w:tc>
          <w:tcPr>
            <w:tcW w:w="7070" w:type="dxa"/>
            <w:tcBorders>
              <w:top w:val="nil"/>
              <w:left w:val="nil"/>
              <w:bottom w:val="nil"/>
              <w:right w:val="nil"/>
            </w:tcBorders>
          </w:tcPr>
          <w:p>
            <w:pPr>
              <w:pStyle w:val="0"/>
            </w:pPr>
            <w:r>
              <w:rPr>
                <w:sz w:val="20"/>
              </w:rPr>
            </w:r>
          </w:p>
        </w:tc>
      </w:tr>
      <w:tr>
        <w:tc>
          <w:tcPr>
            <w:tcW w:w="525" w:type="dxa"/>
            <w:tcBorders>
              <w:top w:val="nil"/>
              <w:left w:val="nil"/>
              <w:bottom w:val="nil"/>
              <w:right w:val="nil"/>
            </w:tcBorders>
          </w:tcPr>
          <w:p>
            <w:pPr>
              <w:pStyle w:val="0"/>
            </w:pPr>
            <w:r>
              <w:rPr>
                <w:sz w:val="20"/>
              </w:rPr>
            </w:r>
          </w:p>
        </w:tc>
        <w:tc>
          <w:tcPr>
            <w:tcW w:w="1110" w:type="dxa"/>
            <w:tcBorders>
              <w:top w:val="nil"/>
              <w:left w:val="nil"/>
              <w:bottom w:val="nil"/>
              <w:right w:val="nil"/>
            </w:tcBorders>
          </w:tcPr>
          <w:p>
            <w:pPr>
              <w:pStyle w:val="0"/>
              <w:jc w:val="both"/>
            </w:pPr>
            <w:r>
              <w:rPr>
                <w:sz w:val="20"/>
              </w:rPr>
              <w:t xml:space="preserve">Ц</w:t>
            </w:r>
            <w:r>
              <w:rPr>
                <w:sz w:val="20"/>
                <w:vertAlign w:val="subscript"/>
              </w:rPr>
              <w:t xml:space="preserve">подр. раб.</w:t>
            </w:r>
          </w:p>
        </w:tc>
        <w:tc>
          <w:tcPr>
            <w:tcW w:w="340" w:type="dxa"/>
            <w:tcBorders>
              <w:top w:val="nil"/>
              <w:left w:val="nil"/>
              <w:bottom w:val="nil"/>
              <w:right w:val="nil"/>
            </w:tcBorders>
          </w:tcPr>
          <w:p>
            <w:pPr>
              <w:pStyle w:val="0"/>
              <w:jc w:val="center"/>
            </w:pPr>
            <w:r>
              <w:rPr>
                <w:sz w:val="20"/>
              </w:rPr>
              <w:t xml:space="preserve">-</w:t>
            </w:r>
          </w:p>
        </w:tc>
        <w:tc>
          <w:tcPr>
            <w:tcW w:w="7070" w:type="dxa"/>
            <w:tcBorders>
              <w:top w:val="nil"/>
              <w:left w:val="nil"/>
              <w:bottom w:val="nil"/>
              <w:right w:val="nil"/>
            </w:tcBorders>
          </w:tcPr>
          <w:p>
            <w:pPr>
              <w:pStyle w:val="0"/>
              <w:ind w:firstLine="540"/>
              <w:jc w:val="both"/>
            </w:pPr>
            <w:r>
              <w:rPr>
                <w:sz w:val="20"/>
              </w:rPr>
              <w:t xml:space="preserve">цена ранее не предусмотренных проектной документацией видов работ и (или) затрат в уровне цен на дату утверждения проектной документации, получившей положительное заключение государственной экспертизы проектной документации, или проектной документации, изменения в которую внесены в соответствии с </w:t>
            </w:r>
            <w:hyperlink w:history="0" r:id="rId103" w:tooltip="&quot;Градостроительный кодекс Российской Федерации&quot; от 29.12.2004 N 190-ФЗ (ред. от 14.07.2022) (с изм. и доп., вступ. в силу с 01.09.2022) {КонсультантПлюс}">
              <w:r>
                <w:rPr>
                  <w:sz w:val="20"/>
                  <w:color w:val="0000ff"/>
                </w:rPr>
                <w:t xml:space="preserve">частью 3.8 статьи 49</w:t>
              </w:r>
            </w:hyperlink>
            <w:r>
              <w:rPr>
                <w:sz w:val="20"/>
              </w:rPr>
              <w:t xml:space="preserve"> Градостроительного кодекса Российской Федерации (Собрание законодательства Российской Федерации 2005, N 1, ст. 16; 2019, N 26, ст. 3317), включающей такие работы и (или) затраты;</w:t>
            </w:r>
          </w:p>
        </w:tc>
      </w:tr>
      <w:tr>
        <w:tc>
          <w:tcPr>
            <w:tcW w:w="525" w:type="dxa"/>
            <w:tcBorders>
              <w:top w:val="nil"/>
              <w:left w:val="nil"/>
              <w:bottom w:val="nil"/>
              <w:right w:val="nil"/>
            </w:tcBorders>
          </w:tcPr>
          <w:p>
            <w:pPr>
              <w:pStyle w:val="0"/>
            </w:pPr>
            <w:r>
              <w:rPr>
                <w:sz w:val="20"/>
              </w:rPr>
            </w:r>
          </w:p>
        </w:tc>
        <w:tc>
          <w:tcPr>
            <w:tcW w:w="1110" w:type="dxa"/>
            <w:tcBorders>
              <w:top w:val="nil"/>
              <w:left w:val="nil"/>
              <w:bottom w:val="nil"/>
              <w:right w:val="nil"/>
            </w:tcBorders>
          </w:tcPr>
          <w:p>
            <w:pPr>
              <w:pStyle w:val="0"/>
              <w:jc w:val="both"/>
            </w:pPr>
            <w:r>
              <w:rPr>
                <w:sz w:val="20"/>
              </w:rPr>
              <w:t xml:space="preserve">К</w:t>
            </w:r>
            <w:r>
              <w:rPr>
                <w:sz w:val="20"/>
                <w:vertAlign w:val="subscript"/>
              </w:rPr>
              <w:t xml:space="preserve">инф.</w:t>
            </w:r>
          </w:p>
        </w:tc>
        <w:tc>
          <w:tcPr>
            <w:tcW w:w="340" w:type="dxa"/>
            <w:tcBorders>
              <w:top w:val="nil"/>
              <w:left w:val="nil"/>
              <w:bottom w:val="nil"/>
              <w:right w:val="nil"/>
            </w:tcBorders>
          </w:tcPr>
          <w:p>
            <w:pPr>
              <w:pStyle w:val="0"/>
              <w:jc w:val="center"/>
            </w:pPr>
            <w:r>
              <w:rPr>
                <w:sz w:val="20"/>
              </w:rPr>
              <w:t xml:space="preserve">-</w:t>
            </w:r>
          </w:p>
        </w:tc>
        <w:tc>
          <w:tcPr>
            <w:tcW w:w="7070" w:type="dxa"/>
            <w:tcBorders>
              <w:top w:val="nil"/>
              <w:left w:val="nil"/>
              <w:bottom w:val="nil"/>
              <w:right w:val="nil"/>
            </w:tcBorders>
          </w:tcPr>
          <w:p>
            <w:pPr>
              <w:pStyle w:val="0"/>
              <w:ind w:firstLine="540"/>
              <w:jc w:val="both"/>
            </w:pPr>
            <w:r>
              <w:rPr>
                <w:sz w:val="20"/>
              </w:rPr>
              <w:t xml:space="preserve">индексы прогнозной инфляции, определяемые от уровня цен на дату утверждения проектной документации, получившей положительное заключение государственной экспертизы проектной документации и включающей такие работы и (или) затраты, с учетом сроков реализации контракта;</w:t>
            </w:r>
          </w:p>
        </w:tc>
      </w:tr>
      <w:tr>
        <w:tc>
          <w:tcPr>
            <w:tcW w:w="525" w:type="dxa"/>
            <w:tcBorders>
              <w:top w:val="nil"/>
              <w:left w:val="nil"/>
              <w:bottom w:val="nil"/>
              <w:right w:val="nil"/>
            </w:tcBorders>
          </w:tcPr>
          <w:p>
            <w:pPr>
              <w:pStyle w:val="0"/>
            </w:pPr>
            <w:r>
              <w:rPr>
                <w:sz w:val="20"/>
              </w:rPr>
            </w:r>
          </w:p>
        </w:tc>
        <w:tc>
          <w:tcPr>
            <w:tcW w:w="1110" w:type="dxa"/>
            <w:tcBorders>
              <w:top w:val="nil"/>
              <w:left w:val="nil"/>
              <w:bottom w:val="nil"/>
              <w:right w:val="nil"/>
            </w:tcBorders>
          </w:tcPr>
          <w:p>
            <w:pPr>
              <w:pStyle w:val="0"/>
              <w:jc w:val="both"/>
            </w:pPr>
            <w:r>
              <w:rPr>
                <w:sz w:val="20"/>
              </w:rPr>
              <w:t xml:space="preserve">К</w:t>
            </w:r>
            <w:r>
              <w:rPr>
                <w:sz w:val="20"/>
                <w:vertAlign w:val="subscript"/>
              </w:rPr>
              <w:t xml:space="preserve">тенд.</w:t>
            </w:r>
          </w:p>
        </w:tc>
        <w:tc>
          <w:tcPr>
            <w:tcW w:w="340" w:type="dxa"/>
            <w:tcBorders>
              <w:top w:val="nil"/>
              <w:left w:val="nil"/>
              <w:bottom w:val="nil"/>
              <w:right w:val="nil"/>
            </w:tcBorders>
          </w:tcPr>
          <w:p>
            <w:pPr>
              <w:pStyle w:val="0"/>
              <w:jc w:val="center"/>
            </w:pPr>
            <w:r>
              <w:rPr>
                <w:sz w:val="20"/>
              </w:rPr>
              <w:t xml:space="preserve">-</w:t>
            </w:r>
          </w:p>
        </w:tc>
        <w:tc>
          <w:tcPr>
            <w:tcW w:w="7070" w:type="dxa"/>
            <w:tcBorders>
              <w:top w:val="nil"/>
              <w:left w:val="nil"/>
              <w:bottom w:val="nil"/>
              <w:right w:val="nil"/>
            </w:tcBorders>
          </w:tcPr>
          <w:p>
            <w:pPr>
              <w:pStyle w:val="0"/>
              <w:jc w:val="both"/>
            </w:pPr>
            <w:r>
              <w:rPr>
                <w:sz w:val="20"/>
              </w:rPr>
              <w:t xml:space="preserve">коэффициент снижения начальной (максимальной) цены контракта, определенный по результатам закупочных процедур.</w:t>
            </w:r>
          </w:p>
        </w:tc>
      </w:tr>
    </w:tbl>
    <w:p>
      <w:pPr>
        <w:pStyle w:val="0"/>
        <w:jc w:val="both"/>
      </w:pPr>
      <w:r>
        <w:rPr>
          <w:sz w:val="20"/>
        </w:rPr>
      </w:r>
    </w:p>
    <w:p>
      <w:pPr>
        <w:pStyle w:val="0"/>
        <w:ind w:firstLine="540"/>
        <w:jc w:val="both"/>
      </w:pPr>
      <w:r>
        <w:rPr>
          <w:sz w:val="20"/>
        </w:rPr>
        <w:t xml:space="preserve">При этом цена таких работ и (или) затрат при формировании сметы контракта определяется с учетом стоимостных показателей строительных ресурсов, необходимых для выполнения работ, и (или) работы (услуги), полученной по результатам конъюнктурного анализа, информации о среднемесячном размере оплаты труда рабочего первого разряда, занятого в строительной отрасли, установленного в субъекте Российской Федерации, в котором осуществляется выполнение работ, предусмотренных контрактом, размещаемой в федеральной государственной информационной системе ценообразования в строительстве в соответствии с </w:t>
      </w:r>
      <w:hyperlink w:history="0" r:id="rId104" w:tooltip="Постановление Правительства РФ от 23.12.2016 N 1452 (ред. от 15.04.2022) &quot;О мониторинге цен строительных ресурсов&quot; (вместе с &quot;Правилами мониторинга цен строительных ресурсов&quot;) {КонсультантПлюс}">
        <w:r>
          <w:rPr>
            <w:sz w:val="20"/>
            <w:color w:val="0000ff"/>
          </w:rPr>
          <w:t xml:space="preserve">подпунктом "б" пункта 3(1)</w:t>
        </w:r>
      </w:hyperlink>
      <w:r>
        <w:rPr>
          <w:sz w:val="20"/>
        </w:rPr>
        <w:t xml:space="preserve"> постановления Правительства Российской Федерации от 23 декабря 2016 г. N 1452 "О мониторинге цен строительных ресурсов" (Собрание законодательства Российской Федерации, 2017, N 1, ст. 184), а также с учетом стоимости работы (услуги), определенной по стоимости аналогичных работ (услуг) на завершенном объекте капитального строительства в пределах цены, ранее не предусмотренных проектной документацией видов работ и (или) затрат (Ц</w:t>
      </w:r>
      <w:r>
        <w:rPr>
          <w:sz w:val="20"/>
          <w:vertAlign w:val="subscript"/>
        </w:rPr>
        <w:t xml:space="preserve">доп.раб.</w:t>
      </w:r>
      <w:r>
        <w:rPr>
          <w:sz w:val="20"/>
        </w:rPr>
        <w:t xml:space="preserve">) в случае если такое решение принято заказчиком.".</w:t>
      </w:r>
    </w:p>
    <w:p>
      <w:pPr>
        <w:pStyle w:val="0"/>
        <w:spacing w:before="200" w:line-rule="auto"/>
        <w:ind w:firstLine="540"/>
        <w:jc w:val="both"/>
      </w:pPr>
      <w:r>
        <w:rPr>
          <w:sz w:val="20"/>
        </w:rPr>
        <w:t xml:space="preserve">3.9. </w:t>
      </w:r>
      <w:hyperlink w:history="0" r:id="rId105" w:tooltip="Приказ Минстроя России от 23.12.2019 N 841/пр (ред. от 25.02.2022) &quot;Об утверждении Порядка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в сфере градостроительной деятельности (за исключением территориального планирования) и Методики составления сметы контракта, предметом которого являются строительство, реконструкция объектов капитального строит ------------ Недействующая редакция {КонсультантПлюс}">
        <w:r>
          <w:rPr>
            <w:sz w:val="20"/>
            <w:color w:val="0000ff"/>
          </w:rPr>
          <w:t xml:space="preserve">Дополнить</w:t>
        </w:r>
      </w:hyperlink>
      <w:r>
        <w:rPr>
          <w:sz w:val="20"/>
        </w:rPr>
        <w:t xml:space="preserve"> пунктом 10.1 следующего содержания:</w:t>
      </w:r>
    </w:p>
    <w:p>
      <w:pPr>
        <w:pStyle w:val="0"/>
        <w:spacing w:before="200" w:line-rule="auto"/>
        <w:ind w:firstLine="540"/>
        <w:jc w:val="both"/>
      </w:pPr>
      <w:r>
        <w:rPr>
          <w:sz w:val="20"/>
        </w:rPr>
        <w:t xml:space="preserve">"10.1 В случае внесения изменений в проектную документацию в связи с корректировкой видов и объемов работ, производство которых необходимо для возведения (устройства) конструктивных элементов зданий (сооружений) и (или) выполнения комплексов (видов) работ, предусмотренных сметой контракта, а также в случае замены материалов и (или) оборудования на аналоги без изменения их объема, общая стоимость выполнения работ, предусмотренных контрактом с учетом объемов корректировки, определяется по формуле:</w:t>
      </w:r>
    </w:p>
    <w:p>
      <w:pPr>
        <w:pStyle w:val="0"/>
        <w:jc w:val="both"/>
      </w:pPr>
      <w:r>
        <w:rPr>
          <w:sz w:val="20"/>
        </w:rPr>
      </w:r>
    </w:p>
    <w:p>
      <w:pPr>
        <w:pStyle w:val="0"/>
        <w:jc w:val="center"/>
      </w:pPr>
      <w:r>
        <w:rPr>
          <w:sz w:val="20"/>
        </w:rPr>
        <w:t xml:space="preserve">Ц</w:t>
      </w:r>
      <w:r>
        <w:rPr>
          <w:sz w:val="20"/>
          <w:vertAlign w:val="subscript"/>
        </w:rPr>
        <w:t xml:space="preserve">раб.кор.</w:t>
      </w:r>
      <w:r>
        <w:rPr>
          <w:sz w:val="20"/>
        </w:rPr>
        <w:t xml:space="preserve"> = Ц</w:t>
      </w:r>
      <w:r>
        <w:rPr>
          <w:sz w:val="20"/>
          <w:vertAlign w:val="subscript"/>
        </w:rPr>
        <w:t xml:space="preserve">ост.контр.</w:t>
      </w:r>
      <w:r>
        <w:rPr>
          <w:sz w:val="20"/>
        </w:rPr>
        <w:t xml:space="preserve"> + Ц</w:t>
      </w:r>
      <w:r>
        <w:rPr>
          <w:sz w:val="20"/>
          <w:vertAlign w:val="subscript"/>
        </w:rPr>
        <w:t xml:space="preserve">кор.</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Ц</w:t>
      </w:r>
      <w:r>
        <w:rPr>
          <w:sz w:val="20"/>
          <w:vertAlign w:val="subscript"/>
        </w:rPr>
        <w:t xml:space="preserve">раб.кор.</w:t>
      </w:r>
      <w:r>
        <w:rPr>
          <w:sz w:val="20"/>
        </w:rPr>
        <w:t xml:space="preserve"> - общая цена работ по контракту с учетом корректировки видов и объемов работ, производство которых необходимо для возведения (устройства) конструктивных элементов здания (сооружения) и (или) выполнения комплексов (видов) работ, предусмотренных сметой контракта;</w:t>
      </w:r>
    </w:p>
    <w:p>
      <w:pPr>
        <w:pStyle w:val="0"/>
        <w:spacing w:before="200" w:line-rule="auto"/>
        <w:ind w:firstLine="540"/>
        <w:jc w:val="both"/>
      </w:pPr>
      <w:r>
        <w:rPr>
          <w:sz w:val="20"/>
        </w:rPr>
        <w:t xml:space="preserve">Ц</w:t>
      </w:r>
      <w:r>
        <w:rPr>
          <w:sz w:val="20"/>
          <w:vertAlign w:val="subscript"/>
        </w:rPr>
        <w:t xml:space="preserve">ост.контр.</w:t>
      </w:r>
      <w:r>
        <w:rPr>
          <w:sz w:val="20"/>
        </w:rPr>
        <w:t xml:space="preserve"> - цена работ, производство которых необходимо для возведения (устройства) конструктивных элементов здания (сооружения) и (или) выполнения комплексов (видов) работ, предусмотренных сметой контракта и не претерпевших изменений при внесении изменений в проектную документацию;</w:t>
      </w:r>
    </w:p>
    <w:p>
      <w:pPr>
        <w:pStyle w:val="0"/>
        <w:spacing w:before="200" w:line-rule="auto"/>
        <w:ind w:firstLine="540"/>
        <w:jc w:val="both"/>
      </w:pPr>
      <w:r>
        <w:rPr>
          <w:sz w:val="20"/>
        </w:rPr>
        <w:t xml:space="preserve">Ц</w:t>
      </w:r>
      <w:r>
        <w:rPr>
          <w:sz w:val="20"/>
          <w:vertAlign w:val="subscript"/>
        </w:rPr>
        <w:t xml:space="preserve">кор.</w:t>
      </w:r>
      <w:r>
        <w:rPr>
          <w:sz w:val="20"/>
        </w:rPr>
        <w:t xml:space="preserve"> - цена работ, производство которых необходимо для возведения (устройства) конструктивных элементов здания (сооружения) и (или) выполнения комплексов (видов) работ, предусмотренных сметой контракта и претерпевших изменения при внесении изменений в проектную документацию, а также стоимость материалов и (или) оборудования, замененных при внесении изменений в проектную документацию на аналоги без изменения их объема.</w:t>
      </w:r>
    </w:p>
    <w:p>
      <w:pPr>
        <w:pStyle w:val="0"/>
        <w:spacing w:before="200" w:line-rule="auto"/>
        <w:ind w:firstLine="540"/>
        <w:jc w:val="both"/>
      </w:pPr>
      <w:r>
        <w:rPr>
          <w:sz w:val="20"/>
        </w:rPr>
        <w:t xml:space="preserve">Цена работ, перечень и объем которых был откорректирован при внесении изменений в проектную документацию, а также цена материалов и (или) оборудования, замененных при внесении изменений в проектную документацию на аналоги без изменения их объема (Ц</w:t>
      </w:r>
      <w:r>
        <w:rPr>
          <w:sz w:val="20"/>
          <w:vertAlign w:val="subscript"/>
        </w:rPr>
        <w:t xml:space="preserve">кор</w:t>
      </w:r>
      <w:r>
        <w:rPr>
          <w:sz w:val="20"/>
        </w:rPr>
        <w:t xml:space="preserve">), определяется по формуле:</w:t>
      </w:r>
    </w:p>
    <w:p>
      <w:pPr>
        <w:pStyle w:val="0"/>
        <w:jc w:val="both"/>
      </w:pPr>
      <w:r>
        <w:rPr>
          <w:sz w:val="20"/>
        </w:rPr>
      </w:r>
    </w:p>
    <w:p>
      <w:pPr>
        <w:pStyle w:val="0"/>
        <w:jc w:val="center"/>
      </w:pPr>
      <w:r>
        <w:rPr>
          <w:sz w:val="20"/>
        </w:rPr>
        <w:t xml:space="preserve">Ц</w:t>
      </w:r>
      <w:r>
        <w:rPr>
          <w:sz w:val="20"/>
          <w:vertAlign w:val="subscript"/>
        </w:rPr>
        <w:t xml:space="preserve">кор.</w:t>
      </w:r>
      <w:r>
        <w:rPr>
          <w:sz w:val="20"/>
        </w:rPr>
        <w:t xml:space="preserve"> = С</w:t>
      </w:r>
      <w:r>
        <w:rPr>
          <w:sz w:val="20"/>
          <w:vertAlign w:val="subscript"/>
        </w:rPr>
        <w:t xml:space="preserve">кор.</w:t>
      </w:r>
      <w:r>
        <w:rPr>
          <w:sz w:val="20"/>
        </w:rPr>
        <w:t xml:space="preserve"> x К</w:t>
      </w:r>
      <w:r>
        <w:rPr>
          <w:sz w:val="20"/>
          <w:vertAlign w:val="subscript"/>
        </w:rPr>
        <w:t xml:space="preserve">инф.</w:t>
      </w:r>
      <w:r>
        <w:rPr>
          <w:sz w:val="20"/>
        </w:rPr>
        <w:t xml:space="preserve"> x К</w:t>
      </w:r>
      <w:r>
        <w:rPr>
          <w:sz w:val="20"/>
          <w:vertAlign w:val="subscript"/>
        </w:rPr>
        <w:t xml:space="preserve">тенд.</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С</w:t>
      </w:r>
      <w:r>
        <w:rPr>
          <w:sz w:val="20"/>
          <w:vertAlign w:val="subscript"/>
        </w:rPr>
        <w:t xml:space="preserve">кор.</w:t>
      </w:r>
      <w:r>
        <w:rPr>
          <w:sz w:val="20"/>
        </w:rPr>
        <w:t xml:space="preserve"> - стоимость видов работ и (или) затрат, а также стоимость материалов и (или) оборудования, откорректированных по результатам внесения изменений в проектную документацию, в уровне цен на дату утверждения сметной документации, входящей в состав проектной документации в соответствии с </w:t>
      </w:r>
      <w:hyperlink w:history="0" r:id="rId106" w:tooltip="Постановление Правительства РФ от 16.02.2008 N 87 (ред. от 27.05.2022) &quot;О составе разделов проектной документации и требованиях к их содержанию&quot; {КонсультантПлюс}">
        <w:r>
          <w:rPr>
            <w:sz w:val="20"/>
            <w:color w:val="0000ff"/>
          </w:rPr>
          <w:t xml:space="preserve">пунктом 28</w:t>
        </w:r>
      </w:hyperlink>
      <w:r>
        <w:rPr>
          <w:sz w:val="20"/>
        </w:rPr>
        <w:t xml:space="preserve"> Положения о составе разделов проектной документации и требованиях к их содержанию, утвержденного постановлением Правительства Российской Федерации от 16 февраля 2008 г. N 87 (далее - сметная документация);</w:t>
      </w:r>
    </w:p>
    <w:p>
      <w:pPr>
        <w:pStyle w:val="0"/>
        <w:spacing w:before="200" w:line-rule="auto"/>
        <w:ind w:firstLine="540"/>
        <w:jc w:val="both"/>
      </w:pPr>
      <w:r>
        <w:rPr>
          <w:sz w:val="20"/>
        </w:rPr>
        <w:t xml:space="preserve">К</w:t>
      </w:r>
      <w:r>
        <w:rPr>
          <w:sz w:val="20"/>
          <w:vertAlign w:val="subscript"/>
        </w:rPr>
        <w:t xml:space="preserve">инф.</w:t>
      </w:r>
      <w:r>
        <w:rPr>
          <w:sz w:val="20"/>
        </w:rPr>
        <w:t xml:space="preserve"> - индексы прогнозной инфляции, применяемые с учетом продолжительности выполнения работ, определяемые от уровня цен на дату утверждения проектной документации, получившей положительное заключение государственной экспертизы проектной документации и включающей такие работы и (или) затраты, с учетом продолжительности выполнения таких работ;</w:t>
      </w:r>
    </w:p>
    <w:p>
      <w:pPr>
        <w:pStyle w:val="0"/>
        <w:spacing w:before="200" w:line-rule="auto"/>
        <w:ind w:firstLine="540"/>
        <w:jc w:val="both"/>
      </w:pPr>
      <w:r>
        <w:rPr>
          <w:sz w:val="20"/>
        </w:rPr>
        <w:t xml:space="preserve">К</w:t>
      </w:r>
      <w:r>
        <w:rPr>
          <w:sz w:val="20"/>
          <w:vertAlign w:val="subscript"/>
        </w:rPr>
        <w:t xml:space="preserve">тенд.</w:t>
      </w:r>
      <w:r>
        <w:rPr>
          <w:sz w:val="20"/>
        </w:rPr>
        <w:t xml:space="preserve"> - коэффициент снижения начальной (максимальной) цены контракта, определенный по результатам закупочных процедур.</w:t>
      </w:r>
    </w:p>
    <w:p>
      <w:pPr>
        <w:pStyle w:val="0"/>
        <w:spacing w:before="200" w:line-rule="auto"/>
        <w:ind w:firstLine="540"/>
        <w:jc w:val="both"/>
      </w:pPr>
      <w:r>
        <w:rPr>
          <w:sz w:val="20"/>
        </w:rPr>
        <w:t xml:space="preserve">При этом цена таких работ и (или) затрат при формировании сметы контракта определяется с учетом стоимостных показателей строительных ресурсов, необходимых для выполнения работ, и (или) работы (услуги), полученной по результатам конъюнктурного анализа, информации о среднемесячном размере оплаты труда рабочего первого разряда, занятого в строительной отрасли, установленного в субъекте Российской Федерации, в котором осуществляется выполнение работ, предусмотренных контрактом, размещаемой в федеральной государственной информационной системе ценообразования в строительстве в соответствии с </w:t>
      </w:r>
      <w:hyperlink w:history="0" r:id="rId107" w:tooltip="Постановление Правительства РФ от 23.12.2016 N 1452 (ред. от 15.04.2022) &quot;О мониторинге цен строительных ресурсов&quot; (вместе с &quot;Правилами мониторинга цен строительных ресурсов&quot;) {КонсультантПлюс}">
        <w:r>
          <w:rPr>
            <w:sz w:val="20"/>
            <w:color w:val="0000ff"/>
          </w:rPr>
          <w:t xml:space="preserve">подпунктом "б" пункта 3(1)</w:t>
        </w:r>
      </w:hyperlink>
      <w:r>
        <w:rPr>
          <w:sz w:val="20"/>
        </w:rPr>
        <w:t xml:space="preserve"> постановления Правительства Российской Федерации от 23 декабря 2016 г. N 1452 "О мониторинге цен строительных ресурсов" (Собрание законодательства Российской Федерации, 2017, N 1, ст. 184), а также по стоимости работы (услуги), определенной по стоимости аналогичных работ (услуг) на завершенном объекте капитального строительства в пределах цены работ, перечень и объем которых был откорректирован при внесении изменений в проектную документацию (Ц</w:t>
      </w:r>
      <w:r>
        <w:rPr>
          <w:sz w:val="20"/>
          <w:vertAlign w:val="subscript"/>
        </w:rPr>
        <w:t xml:space="preserve">кор</w:t>
      </w:r>
      <w:r>
        <w:rPr>
          <w:sz w:val="20"/>
        </w:rPr>
        <w:t xml:space="preserve">) в случае, если такое решение принято заказчиком.".</w:t>
      </w:r>
    </w:p>
    <w:p>
      <w:pPr>
        <w:pStyle w:val="0"/>
        <w:spacing w:before="200" w:line-rule="auto"/>
        <w:ind w:firstLine="540"/>
        <w:jc w:val="both"/>
      </w:pPr>
      <w:r>
        <w:rPr>
          <w:sz w:val="20"/>
        </w:rPr>
        <w:t xml:space="preserve">3.10. В </w:t>
      </w:r>
      <w:hyperlink w:history="0" r:id="rId108" w:tooltip="Приказ Минстроя России от 23.12.2019 N 841/пр (ред. от 25.02.2022) &quot;Об утверждении Порядка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в сфере градостроительной деятельности (за исключением территориального планирования) и Методики составления сметы контракта, предметом которого являются строительство, реконструкция объектов капитального строит ------------ Недействующая редакция {КонсультантПлюс}">
        <w:r>
          <w:rPr>
            <w:sz w:val="20"/>
            <w:color w:val="0000ff"/>
          </w:rPr>
          <w:t xml:space="preserve">пункте 11</w:t>
        </w:r>
      </w:hyperlink>
      <w:r>
        <w:rPr>
          <w:sz w:val="20"/>
        </w:rPr>
        <w:t xml:space="preserve"> слово "применяемых" заменить словами "действующих на дату внесения изменений,".</w:t>
      </w:r>
    </w:p>
    <w:p>
      <w:pPr>
        <w:pStyle w:val="0"/>
        <w:spacing w:before="200" w:line-rule="auto"/>
        <w:ind w:firstLine="540"/>
        <w:jc w:val="both"/>
      </w:pPr>
      <w:r>
        <w:rPr>
          <w:sz w:val="20"/>
        </w:rPr>
        <w:t xml:space="preserve">3.11. В </w:t>
      </w:r>
      <w:hyperlink w:history="0" r:id="rId109" w:tooltip="Приказ Минстроя России от 23.12.2019 N 841/пр (ред. от 25.02.2022) &quot;Об утверждении Порядка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в сфере градостроительной деятельности (за исключением территориального планирования) и Методики составления сметы контракта, предметом которого являются строительство, реконструкция объектов капитального строит ------------ Недействующая редакция {КонсультантПлюс}">
        <w:r>
          <w:rPr>
            <w:sz w:val="20"/>
            <w:color w:val="0000ff"/>
          </w:rPr>
          <w:t xml:space="preserve">пункте 12</w:t>
        </w:r>
      </w:hyperlink>
      <w:r>
        <w:rPr>
          <w:sz w:val="20"/>
        </w:rPr>
        <w:t xml:space="preserve"> слова "подпункта "в" заменить словами "</w:t>
      </w:r>
      <w:hyperlink w:history="0" r:id="rId110" w:tooltip="Федеральный закон от 05.04.2013 N 44-ФЗ (ред. от 14.07.2022)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подпункта "1.3"</w:t>
        </w:r>
      </w:hyperlink>
      <w:r>
        <w:rPr>
          <w:sz w:val="20"/>
        </w:rPr>
        <w:t xml:space="preserve">.</w:t>
      </w:r>
    </w:p>
    <w:p>
      <w:pPr>
        <w:pStyle w:val="0"/>
        <w:spacing w:before="200" w:line-rule="auto"/>
        <w:ind w:firstLine="540"/>
        <w:jc w:val="both"/>
      </w:pPr>
      <w:r>
        <w:rPr>
          <w:sz w:val="20"/>
        </w:rPr>
        <w:t xml:space="preserve">3.12. </w:t>
      </w:r>
      <w:hyperlink w:history="0" r:id="rId111" w:tooltip="Приказ Минстроя России от 23.12.2019 N 841/пр (ред. от 25.02.2022) &quot;Об утверждении Порядка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в сфере градостроительной деятельности (за исключением территориального планирования) и Методики составления сметы контракта, предметом которого являются строительство, реконструкция объектов капитального строит ------------ Недействующая редакция {КонсультантПлюс}">
        <w:r>
          <w:rPr>
            <w:sz w:val="20"/>
            <w:color w:val="0000ff"/>
          </w:rPr>
          <w:t xml:space="preserve">Пункт 14</w:t>
        </w:r>
      </w:hyperlink>
      <w:r>
        <w:rPr>
          <w:sz w:val="20"/>
        </w:rPr>
        <w:t xml:space="preserve"> изложить в следующей редакции:</w:t>
      </w:r>
    </w:p>
    <w:p>
      <w:pPr>
        <w:pStyle w:val="0"/>
        <w:spacing w:before="200" w:line-rule="auto"/>
        <w:ind w:firstLine="540"/>
        <w:jc w:val="both"/>
      </w:pPr>
      <w:r>
        <w:rPr>
          <w:sz w:val="20"/>
        </w:rPr>
        <w:t xml:space="preserve">"14. В соответствии с </w:t>
      </w:r>
      <w:hyperlink w:history="0" r:id="rId112" w:tooltip="Федеральный закон от 05.04.2013 N 44-ФЗ (ред. от 14.07.2022)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пунктом 8 части 1 статьи 95</w:t>
        </w:r>
      </w:hyperlink>
      <w:r>
        <w:rPr>
          <w:sz w:val="20"/>
        </w:rPr>
        <w:t xml:space="preserve"> Федерального закона N 44-ФЗ (Собрание законодательства Российской Федерации, 2013, N 14, ст. 1652; 2021, N 27, ст. 5188), </w:t>
      </w:r>
      <w:hyperlink w:history="0" r:id="rId113" w:tooltip="Постановление Правительства РФ от 09.08.2021 N 1315 (ред. от 28.07.2022) &quot;О внесении изменений в некоторые акты Правительства Российской Федерации&quot; {КонсультантПлюс}">
        <w:r>
          <w:rPr>
            <w:sz w:val="20"/>
            <w:color w:val="0000ff"/>
          </w:rPr>
          <w:t xml:space="preserve">пунктом 2</w:t>
        </w:r>
      </w:hyperlink>
      <w:r>
        <w:rPr>
          <w:sz w:val="20"/>
        </w:rPr>
        <w:t xml:space="preserve"> постановления Правительства Российской Федерации от 9 августа 2021 г. N 1315 "О внесении изменений в некоторые акты Правительства Российской Федерации" (Собрание законодательства Российской Федерации, 2021, N 33, ст. 6107; 2022, N 13, ст. 2100) (далее - Постановление N 1315) в связи с существенным увеличением в 2021 и 2022 годах цен на строительные ресурсы поставки подрядчика (далее - существенное возрастание стоимости строительных ресурсов поставки подрядчика) внесение изменений в смету контракта осуществляется в порядке, предусмотренном абзацем вторым настоящего пункта и пунктами 14.1 - 14.6 Методики, при условии, если контракт заключен до 31 декабря 2022 г. и обязательства по нему на дату заключения соглашения об изменении условий контракта не исполнены, существенное возрастание стоимости строительных ресурсов поставки подрядчика не приводит к увеличению цены контракта более чем на 30 процентов, физические объемы работ, конструктивные, организационно-технологические и другие решения не изменяются.</w:t>
      </w:r>
    </w:p>
    <w:p>
      <w:pPr>
        <w:pStyle w:val="0"/>
        <w:spacing w:before="200" w:line-rule="auto"/>
        <w:ind w:firstLine="540"/>
        <w:jc w:val="both"/>
      </w:pPr>
      <w:r>
        <w:rPr>
          <w:sz w:val="20"/>
        </w:rPr>
        <w:t xml:space="preserve">Указанная в проекте сметы контракта (с учетом изменения) графа цены на единицу измерения (с учетом корректировки) заполняется в случае, если в состав конструктивного решения (элемента) и (или) комплекса (вида) работ, оборудования, в соответствии с проектной документацией, рабочей документацией, включены или исключены ранее не предусмотренные такой проектной документацией, рабочей документацией работы, оборудование. В случае изменения исключительно объемов работ и (или) количества оборудования, цена конструктивного решения (элемента) и (или) комплекса (вида) работ, оборудования за единицу измерения не подлежит изменению.".</w:t>
      </w:r>
    </w:p>
    <w:p>
      <w:pPr>
        <w:pStyle w:val="0"/>
        <w:spacing w:before="200" w:line-rule="auto"/>
        <w:ind w:firstLine="540"/>
        <w:jc w:val="both"/>
      </w:pPr>
      <w:r>
        <w:rPr>
          <w:sz w:val="20"/>
        </w:rPr>
        <w:t xml:space="preserve">3.13. В </w:t>
      </w:r>
      <w:hyperlink w:history="0" r:id="rId114" w:tooltip="Приказ Минстроя России от 23.12.2019 N 841/пр (ред. от 25.02.2022) &quot;Об утверждении Порядка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в сфере градостроительной деятельности (за исключением территориального планирования) и Методики составления сметы контракта, предметом которого являются строительство, реконструкция объектов капитального строит ------------ Недействующая редакция {КонсультантПлюс}">
        <w:r>
          <w:rPr>
            <w:sz w:val="20"/>
            <w:color w:val="0000ff"/>
          </w:rPr>
          <w:t xml:space="preserve">пункте 14.1</w:t>
        </w:r>
      </w:hyperlink>
      <w:r>
        <w:rPr>
          <w:sz w:val="20"/>
        </w:rPr>
        <w:t xml:space="preserve">:</w:t>
      </w:r>
    </w:p>
    <w:p>
      <w:pPr>
        <w:pStyle w:val="0"/>
        <w:spacing w:before="200" w:line-rule="auto"/>
        <w:ind w:firstLine="540"/>
        <w:jc w:val="both"/>
      </w:pPr>
      <w:r>
        <w:rPr>
          <w:sz w:val="20"/>
        </w:rPr>
        <w:t xml:space="preserve">а) в </w:t>
      </w:r>
      <w:hyperlink w:history="0" r:id="rId115" w:tooltip="Приказ Минстроя России от 23.12.2019 N 841/пр (ред. от 25.02.2022) &quot;Об утверждении Порядка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в сфере градостроительной деятельности (за исключением территориального планирования) и Методики составления сметы контракта, предметом которого являются строительство, реконструкция объектов капитального строит ------------ Недействующая редакция {КонсультантПлюс}">
        <w:r>
          <w:rPr>
            <w:sz w:val="20"/>
            <w:color w:val="0000ff"/>
          </w:rPr>
          <w:t xml:space="preserve">абзаце первом</w:t>
        </w:r>
      </w:hyperlink>
      <w:r>
        <w:rPr>
          <w:sz w:val="20"/>
        </w:rPr>
        <w:t xml:space="preserve"> слова "в 2021 г." заменить словами "в 2021 - 2022 гг.";</w:t>
      </w:r>
    </w:p>
    <w:p>
      <w:pPr>
        <w:pStyle w:val="0"/>
        <w:spacing w:before="200" w:line-rule="auto"/>
        <w:ind w:firstLine="540"/>
        <w:jc w:val="both"/>
      </w:pPr>
      <w:r>
        <w:rPr>
          <w:sz w:val="20"/>
        </w:rPr>
        <w:t xml:space="preserve">б) в </w:t>
      </w:r>
      <w:hyperlink w:history="0" r:id="rId116" w:tooltip="Приказ Минстроя России от 23.12.2019 N 841/пр (ред. от 25.02.2022) &quot;Об утверждении Порядка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в сфере градостроительной деятельности (за исключением территориального планирования) и Методики составления сметы контракта, предметом которого являются строительство, реконструкция объектов капитального строит ------------ Недействующая редакция {КонсультантПлюс}">
        <w:r>
          <w:rPr>
            <w:sz w:val="20"/>
            <w:color w:val="0000ff"/>
          </w:rPr>
          <w:t xml:space="preserve">абзаце четырнадцатом</w:t>
        </w:r>
      </w:hyperlink>
      <w:r>
        <w:rPr>
          <w:sz w:val="20"/>
        </w:rPr>
        <w:t xml:space="preserve"> слова "в 2021 г." заменить словами "в 2021 - 2022 гг.";</w:t>
      </w:r>
    </w:p>
    <w:p>
      <w:pPr>
        <w:pStyle w:val="0"/>
        <w:spacing w:before="200" w:line-rule="auto"/>
        <w:ind w:firstLine="540"/>
        <w:jc w:val="both"/>
      </w:pPr>
      <w:r>
        <w:rPr>
          <w:sz w:val="20"/>
        </w:rPr>
        <w:t xml:space="preserve">в) в </w:t>
      </w:r>
      <w:hyperlink w:history="0" r:id="rId117" w:tooltip="Приказ Минстроя России от 23.12.2019 N 841/пр (ред. от 25.02.2022) &quot;Об утверждении Порядка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в сфере градостроительной деятельности (за исключением территориального планирования) и Методики составления сметы контракта, предметом которого являются строительство, реконструкция объектов капитального строит ------------ Недействующая редакция {КонсультантПлюс}">
        <w:r>
          <w:rPr>
            <w:sz w:val="20"/>
            <w:color w:val="0000ff"/>
          </w:rPr>
          <w:t xml:space="preserve">абзаце пятнадцатом</w:t>
        </w:r>
      </w:hyperlink>
      <w:r>
        <w:rPr>
          <w:sz w:val="20"/>
        </w:rPr>
        <w:t xml:space="preserve"> слова "в 2021 г." заменить словами "в 2021 - 2022 гг.";</w:t>
      </w:r>
    </w:p>
    <w:p>
      <w:pPr>
        <w:pStyle w:val="0"/>
        <w:spacing w:before="200" w:line-rule="auto"/>
        <w:ind w:firstLine="540"/>
        <w:jc w:val="both"/>
      </w:pPr>
      <w:r>
        <w:rPr>
          <w:sz w:val="20"/>
        </w:rPr>
        <w:t xml:space="preserve">г) в </w:t>
      </w:r>
      <w:hyperlink w:history="0" r:id="rId118" w:tooltip="Приказ Минстроя России от 23.12.2019 N 841/пр (ред. от 25.02.2022) &quot;Об утверждении Порядка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в сфере градостроительной деятельности (за исключением территориального планирования) и Методики составления сметы контракта, предметом которого являются строительство, реконструкция объектов капитального строит ------------ Недействующая редакция {КонсультантПлюс}">
        <w:r>
          <w:rPr>
            <w:sz w:val="20"/>
            <w:color w:val="0000ff"/>
          </w:rPr>
          <w:t xml:space="preserve">абзаце шестнадцатом</w:t>
        </w:r>
      </w:hyperlink>
      <w:r>
        <w:rPr>
          <w:sz w:val="20"/>
        </w:rPr>
        <w:t xml:space="preserve"> слова "в 2021 г." заменить словами "в 2021 - 2022 гг.";</w:t>
      </w:r>
    </w:p>
    <w:p>
      <w:pPr>
        <w:pStyle w:val="0"/>
        <w:spacing w:before="200" w:line-rule="auto"/>
        <w:ind w:firstLine="540"/>
        <w:jc w:val="both"/>
      </w:pPr>
      <w:r>
        <w:rPr>
          <w:sz w:val="20"/>
        </w:rPr>
        <w:t xml:space="preserve">д) в </w:t>
      </w:r>
      <w:hyperlink w:history="0" r:id="rId119" w:tooltip="Приказ Минстроя России от 23.12.2019 N 841/пр (ред. от 25.02.2022) &quot;Об утверждении Порядка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в сфере градостроительной деятельности (за исключением территориального планирования) и Методики составления сметы контракта, предметом которого являются строительство, реконструкция объектов капитального строит ------------ Недействующая редакция {КонсультантПлюс}">
        <w:r>
          <w:rPr>
            <w:sz w:val="20"/>
            <w:color w:val="0000ff"/>
          </w:rPr>
          <w:t xml:space="preserve">абзаце семнадцатом</w:t>
        </w:r>
      </w:hyperlink>
      <w:r>
        <w:rPr>
          <w:sz w:val="20"/>
        </w:rPr>
        <w:t xml:space="preserve"> слова "в 2021 г." заменить словами "в 2021 - 2022 гг.";</w:t>
      </w:r>
    </w:p>
    <w:p>
      <w:pPr>
        <w:pStyle w:val="0"/>
        <w:spacing w:before="200" w:line-rule="auto"/>
        <w:ind w:firstLine="540"/>
        <w:jc w:val="both"/>
      </w:pPr>
      <w:r>
        <w:rPr>
          <w:sz w:val="20"/>
        </w:rPr>
        <w:t xml:space="preserve">е) в </w:t>
      </w:r>
      <w:hyperlink w:history="0" r:id="rId120" w:tooltip="Приказ Минстроя России от 23.12.2019 N 841/пр (ред. от 25.02.2022) &quot;Об утверждении Порядка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в сфере градостроительной деятельности (за исключением территориального планирования) и Методики составления сметы контракта, предметом которого являются строительство, реконструкция объектов капитального строит ------------ Недействующая редакция {КонсультантПлюс}">
        <w:r>
          <w:rPr>
            <w:sz w:val="20"/>
            <w:color w:val="0000ff"/>
          </w:rPr>
          <w:t xml:space="preserve">абзаце двадцать втором</w:t>
        </w:r>
      </w:hyperlink>
      <w:r>
        <w:rPr>
          <w:sz w:val="20"/>
        </w:rPr>
        <w:t xml:space="preserve"> слова "в 2021 г." заменить словами "в 2021 - 2022 гг.".</w:t>
      </w:r>
    </w:p>
    <w:p>
      <w:pPr>
        <w:pStyle w:val="0"/>
        <w:spacing w:before="200" w:line-rule="auto"/>
        <w:ind w:firstLine="540"/>
        <w:jc w:val="both"/>
      </w:pPr>
      <w:r>
        <w:rPr>
          <w:sz w:val="20"/>
        </w:rPr>
        <w:t xml:space="preserve">3.14. В </w:t>
      </w:r>
      <w:hyperlink w:history="0" r:id="rId121" w:tooltip="Приказ Минстроя России от 23.12.2019 N 841/пр (ред. от 25.02.2022) &quot;Об утверждении Порядка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в сфере градостроительной деятельности (за исключением территориального планирования) и Методики составления сметы контракта, предметом которого являются строительство, реконструкция объектов капитального строит ------------ Недействующая редакция {КонсультантПлюс}">
        <w:r>
          <w:rPr>
            <w:sz w:val="20"/>
            <w:color w:val="0000ff"/>
          </w:rPr>
          <w:t xml:space="preserve">пункте 14.2</w:t>
        </w:r>
      </w:hyperlink>
      <w:r>
        <w:rPr>
          <w:sz w:val="20"/>
        </w:rPr>
        <w:t xml:space="preserve">:</w:t>
      </w:r>
    </w:p>
    <w:p>
      <w:pPr>
        <w:pStyle w:val="0"/>
        <w:spacing w:before="200" w:line-rule="auto"/>
        <w:ind w:firstLine="540"/>
        <w:jc w:val="both"/>
      </w:pPr>
      <w:r>
        <w:rPr>
          <w:sz w:val="20"/>
        </w:rPr>
        <w:t xml:space="preserve">а) </w:t>
      </w:r>
      <w:hyperlink w:history="0" r:id="rId122" w:tooltip="Приказ Минстроя России от 23.12.2019 N 841/пр (ред. от 25.02.2022) &quot;Об утверждении Порядка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в сфере градостроительной деятельности (за исключением территориального планирования) и Методики составления сметы контракта, предметом которого являются строительство, реконструкция объектов капитального строит ------------ Недействующая редакция {КонсультантПлюс}">
        <w:r>
          <w:rPr>
            <w:sz w:val="20"/>
            <w:color w:val="0000ff"/>
          </w:rPr>
          <w:t xml:space="preserve">подпункт "а"</w:t>
        </w:r>
      </w:hyperlink>
      <w:r>
        <w:rPr>
          <w:sz w:val="20"/>
        </w:rPr>
        <w:t xml:space="preserve"> изложить в новой редакции:</w:t>
      </w:r>
    </w:p>
    <w:p>
      <w:pPr>
        <w:pStyle w:val="0"/>
        <w:spacing w:before="200" w:line-rule="auto"/>
        <w:ind w:firstLine="540"/>
        <w:jc w:val="both"/>
      </w:pPr>
      <w:r>
        <w:rPr>
          <w:sz w:val="20"/>
        </w:rPr>
        <w:t xml:space="preserve">"а) определяется сметная стоимость всех работ, предусмотренных проектной документацией, используемой при определении начальной (максимальной) цены контракта (далее - НМЦК), рассчитанная в уровне цен на дату выполнения Расчета (Ц</w:t>
      </w:r>
      <w:r>
        <w:rPr>
          <w:sz w:val="20"/>
          <w:vertAlign w:val="subscript"/>
        </w:rPr>
        <w:t xml:space="preserve">нов</w:t>
      </w:r>
      <w:r>
        <w:rPr>
          <w:sz w:val="20"/>
        </w:rPr>
        <w:t xml:space="preserve">).</w:t>
      </w:r>
    </w:p>
    <w:p>
      <w:pPr>
        <w:pStyle w:val="0"/>
        <w:spacing w:before="200" w:line-rule="auto"/>
        <w:ind w:firstLine="540"/>
        <w:jc w:val="both"/>
      </w:pPr>
      <w:r>
        <w:rPr>
          <w:sz w:val="20"/>
        </w:rPr>
        <w:t xml:space="preserve">Показатель Ц</w:t>
      </w:r>
      <w:r>
        <w:rPr>
          <w:sz w:val="20"/>
          <w:vertAlign w:val="subscript"/>
        </w:rPr>
        <w:t xml:space="preserve">нов</w:t>
      </w:r>
      <w:r>
        <w:rPr>
          <w:sz w:val="20"/>
        </w:rPr>
        <w:t xml:space="preserve"> рассчитывается на основании сметной документации, определяющей сметную стоимость всех работ, предусмотренных проектной документацией по объекту строительства, используемой при определении НМЦК без учета внесенных в нее корректировок в части изменения физических объемов работ, конструктивных, организационно-технологических и других решений и пересчитанной из базисного уровня цен (по состоянию на 01.01.2000), принятого в такой сметной документации (без его пересчета), в уровень цен на дату выполнения Расчета с применением индексов изменения сметной стоимости строительства, действующих на дату выполнения такого пересчета и размещенных Министерством строительства и жилищно-коммунального хозяйства Российской Федерации в федеральном реестре сметных нормативов в соответствии с </w:t>
      </w:r>
      <w:hyperlink w:history="0" r:id="rId123" w:tooltip="Приказ Минстроя России от 24.10.2017 N 1470/пр &quot;Об утверждении Порядка формирования и ведения федерального реестра сметных нормативов&quot; (Зарегистрировано в Минюсте России 14.05.2018 N 51079) {КонсультантПлюс}">
        <w:r>
          <w:rPr>
            <w:sz w:val="20"/>
            <w:color w:val="0000ff"/>
          </w:rPr>
          <w:t xml:space="preserve">Приказом</w:t>
        </w:r>
      </w:hyperlink>
      <w:r>
        <w:rPr>
          <w:sz w:val="20"/>
        </w:rPr>
        <w:t xml:space="preserve"> Министерства строительства и жилищно-коммунального хозяйства Российской Федерации N 1470/пр.</w:t>
      </w:r>
    </w:p>
    <w:p>
      <w:pPr>
        <w:pStyle w:val="0"/>
        <w:spacing w:before="200" w:line-rule="auto"/>
        <w:ind w:firstLine="540"/>
        <w:jc w:val="both"/>
      </w:pPr>
      <w:r>
        <w:rPr>
          <w:sz w:val="20"/>
        </w:rPr>
        <w:t xml:space="preserve">При пересчете применяются индексы изменения сметной стоимости, соответствующие по наименованию индексам, принятым в сметной документации, использованной для определения НМЦК, а также соответствующие той ценовой зоне, для которой эти индексы применялись.</w:t>
      </w:r>
    </w:p>
    <w:p>
      <w:pPr>
        <w:pStyle w:val="0"/>
        <w:spacing w:before="200" w:line-rule="auto"/>
        <w:ind w:firstLine="540"/>
        <w:jc w:val="both"/>
      </w:pPr>
      <w:r>
        <w:rPr>
          <w:sz w:val="20"/>
        </w:rPr>
        <w:t xml:space="preserve">В случае, если на дату выполнения расчета отсутствуют индексы изменения сметной стоимости строительно-монтажных работ (далее - индексы к СМР), разработанные для применения к территориальным единичным расценкам (далее - ТЕР-2001), то определение показателя Ц</w:t>
      </w:r>
      <w:r>
        <w:rPr>
          <w:sz w:val="20"/>
          <w:vertAlign w:val="subscript"/>
        </w:rPr>
        <w:t xml:space="preserve">нов</w:t>
      </w:r>
      <w:r>
        <w:rPr>
          <w:sz w:val="20"/>
        </w:rPr>
        <w:t xml:space="preserve"> осуществляется с использованием индексов, предназначенных для применения к федеральным единичным расценкам (далее - ФЕР-2001), учитывающих динамику изменения сметной стоимости строительных ресурсов.</w:t>
      </w:r>
    </w:p>
    <w:p>
      <w:pPr>
        <w:pStyle w:val="0"/>
        <w:spacing w:before="200" w:line-rule="auto"/>
        <w:ind w:firstLine="540"/>
        <w:jc w:val="both"/>
      </w:pPr>
      <w:r>
        <w:rPr>
          <w:sz w:val="20"/>
        </w:rPr>
        <w:t xml:space="preserve">В случае, если после определения НМЦК Министерством строительства и жилищно-коммунального хозяйства Российской Федерации в ФГИС ЦС размещены индексы изменения сметной стоимости, наиболее полно отражающие специфику объекта капитального строительства (далее - Индекс по виду объекта), то для определения сметной стоимости всех работ, выполнение которых предусмотрено подрядчиком по контракту в уровне цен на дату выполнения Расчета (Ц</w:t>
      </w:r>
      <w:r>
        <w:rPr>
          <w:sz w:val="20"/>
          <w:vertAlign w:val="subscript"/>
        </w:rPr>
        <w:t xml:space="preserve">нов</w:t>
      </w:r>
      <w:r>
        <w:rPr>
          <w:sz w:val="20"/>
        </w:rPr>
        <w:t xml:space="preserve">), применяются Индексы по виду объекта.</w:t>
      </w:r>
    </w:p>
    <w:p>
      <w:pPr>
        <w:pStyle w:val="0"/>
        <w:spacing w:before="200" w:line-rule="auto"/>
        <w:ind w:firstLine="540"/>
        <w:jc w:val="both"/>
      </w:pPr>
      <w:r>
        <w:rPr>
          <w:sz w:val="20"/>
        </w:rPr>
        <w:t xml:space="preserve">В случае, если после определения НМЦК Министерством строительства и жилищно-коммунального хозяйства Российской Федерации в ФГИС ЦС размещены индексы изменения сметной стоимости для частей территории субъектов Российской Федерации, которые нормативными правовыми актами высшего исполнительного органа государственной власти субъекта Российской Федерации определены как самостоятельные ценовые зоны, или в случае, если ценовые зоны изменились, то для определения сметной стоимости всех работ, выполнение которых предусмотрено подрядчиком по контракту в уровне цен на дату выполнения Расчета (Ц</w:t>
      </w:r>
      <w:r>
        <w:rPr>
          <w:sz w:val="20"/>
          <w:vertAlign w:val="subscript"/>
        </w:rPr>
        <w:t xml:space="preserve">нов</w:t>
      </w:r>
      <w:r>
        <w:rPr>
          <w:sz w:val="20"/>
        </w:rPr>
        <w:t xml:space="preserve">), применяются индексы, размещенные Министерством строительства и жилищно-коммунального хозяйства Российской Федерации в ФГИС ЦС для первой ценовой зоны субъекта Российской Федерации. При пересчете сметная стоимость строительных материалов и (или) оборудования, принятых в сметной документации по фактической стоимости на основании прейскурантов, коммерческих предложений, прайс-листов, цена которых по информации подрядчика существенно возросла, определяется по результатам конъюнктурного анализа.</w:t>
      </w:r>
    </w:p>
    <w:p>
      <w:pPr>
        <w:pStyle w:val="0"/>
        <w:spacing w:before="200" w:line-rule="auto"/>
        <w:ind w:firstLine="540"/>
        <w:jc w:val="both"/>
      </w:pPr>
      <w:r>
        <w:rPr>
          <w:sz w:val="20"/>
        </w:rPr>
        <w:t xml:space="preserve">Для подтверждения ценовых показателей таких строительных материалов и (или) оборудования по прайс-листам представляются обосновывающие документы, содержащие информацию о цене таких строительных материалов и (или) оборудования, действующей на дату проведения Расчета.</w:t>
      </w:r>
    </w:p>
    <w:p>
      <w:pPr>
        <w:pStyle w:val="0"/>
        <w:spacing w:before="200" w:line-rule="auto"/>
        <w:ind w:firstLine="540"/>
        <w:jc w:val="both"/>
      </w:pPr>
      <w:r>
        <w:rPr>
          <w:sz w:val="20"/>
        </w:rPr>
        <w:t xml:space="preserve">В качестве обосновывающих документов представляются коммерческие предложения, прайс-листы, договоры поставки идентичных строительных материалов и (или) оборудования, необходимые для строительства объекта в рамках заключенного контракта, действующие на дату поставки (предполагаемой поставки) строительных материалов и (или) оборудования, данные торговых площадок.</w:t>
      </w:r>
    </w:p>
    <w:p>
      <w:pPr>
        <w:pStyle w:val="0"/>
        <w:spacing w:before="200" w:line-rule="auto"/>
        <w:ind w:firstLine="540"/>
        <w:jc w:val="both"/>
      </w:pPr>
      <w:r>
        <w:rPr>
          <w:sz w:val="20"/>
        </w:rPr>
        <w:t xml:space="preserve">Для подтверждения ценовых показателей позиции перечня строительных материалов и (или) оборудования, определенных для проведения расчета, представляется не менее 3 (трех) обосновывающих документов, за исключением случаев, когда материал и (или) оборудование поставляется единственным поставщиком.</w:t>
      </w:r>
    </w:p>
    <w:p>
      <w:pPr>
        <w:pStyle w:val="0"/>
        <w:spacing w:before="200" w:line-rule="auto"/>
        <w:ind w:firstLine="540"/>
        <w:jc w:val="both"/>
      </w:pPr>
      <w:r>
        <w:rPr>
          <w:sz w:val="20"/>
        </w:rPr>
        <w:t xml:space="preserve">Ценовые показатели строительных материалов и (или) оборудования, используемые при пересчете сметной стоимости, определяются по наиболее экономичному варианту, определенному на основании ценовых показателей строительных материалов и (или) оборудования в представленных обосновывающих документах. При этом под наиболее экономичным вариантом понимается минимальное значение стоимости строительных материалов и (или) оборудования в представленных обосновывающих документах.</w:t>
      </w:r>
    </w:p>
    <w:p>
      <w:pPr>
        <w:pStyle w:val="0"/>
        <w:spacing w:before="200" w:line-rule="auto"/>
        <w:ind w:firstLine="540"/>
        <w:jc w:val="both"/>
      </w:pPr>
      <w:r>
        <w:rPr>
          <w:sz w:val="20"/>
        </w:rPr>
        <w:t xml:space="preserve">При расчете показателя Ц</w:t>
      </w:r>
      <w:r>
        <w:rPr>
          <w:sz w:val="20"/>
          <w:vertAlign w:val="subscript"/>
        </w:rPr>
        <w:t xml:space="preserve">нов</w:t>
      </w:r>
      <w:r>
        <w:rPr>
          <w:sz w:val="20"/>
        </w:rPr>
        <w:t xml:space="preserve">, необходимого для дальнейшего расчета коэффициента корректировки цены контракта (К</w:t>
      </w:r>
      <w:r>
        <w:rPr>
          <w:sz w:val="20"/>
          <w:vertAlign w:val="subscript"/>
        </w:rPr>
        <w:t xml:space="preserve">кор</w:t>
      </w:r>
      <w:r>
        <w:rPr>
          <w:sz w:val="20"/>
        </w:rPr>
        <w:t xml:space="preserve">), используется информация о фактической цене приобретения строительных материалов и (или) оборудования, принятых в сметной документации по фактической стоимости на основании договоров поставки, прейскурантов, коммерческих предложений, прайс-листов, в случае, если такое решение принято заказчиком.</w:t>
      </w:r>
    </w:p>
    <w:p>
      <w:pPr>
        <w:pStyle w:val="0"/>
        <w:spacing w:before="200" w:line-rule="auto"/>
        <w:ind w:firstLine="540"/>
        <w:jc w:val="both"/>
      </w:pPr>
      <w:r>
        <w:rPr>
          <w:sz w:val="20"/>
        </w:rPr>
        <w:t xml:space="preserve">Сметная стоимость строительных материалов и (или) оборудования, принятых в сметной документации по фактической стоимости на основании прейскурантов, коммерческих предложений, прайс-листов, ценовые показатели которых по данным подрядчика не претерпели существенного роста, определяется путем применения к ценовым показателям таких строительных материалов и (или) оборудования в уровне цен на дату утверждения проектной документации, учтенных в сметной документации, используемой для расчета НМЦК, индекса-дефлятора Министерства экономического развития Российской Федерации по строке "Инвестиции в основной капитал (капитальные вложения)", действующего на дату пересчета сметной документации и рассчитанного для периода с даты утверждения такой проектной документации до даты пересчета сметной стоимости.</w:t>
      </w:r>
    </w:p>
    <w:p>
      <w:pPr>
        <w:pStyle w:val="0"/>
        <w:spacing w:before="200" w:line-rule="auto"/>
        <w:ind w:firstLine="540"/>
        <w:jc w:val="both"/>
      </w:pPr>
      <w:r>
        <w:rPr>
          <w:sz w:val="20"/>
        </w:rPr>
        <w:t xml:space="preserve">В случае, если одновременно с проведением Расчета вносятся изменения в проектную документацию в части замены материалов и (или) оборудования на аналоги без изменения их объема, сметная стоимость таких материалов и (или) оборудования при определении показателя Ц</w:t>
      </w:r>
      <w:r>
        <w:rPr>
          <w:sz w:val="20"/>
          <w:vertAlign w:val="subscript"/>
        </w:rPr>
        <w:t xml:space="preserve">нов</w:t>
      </w:r>
      <w:r>
        <w:rPr>
          <w:sz w:val="20"/>
        </w:rPr>
        <w:t xml:space="preserve"> определяется путем применения к ценовым показателям таких строительных материалов и (или) оборудования в уровне цен на дату утверждения проектной документации, учтенных в сметной документации, используемой для расчета НМЦК, индекса-дефлятора Министерства экономического развития Российской Федерации по строке "Инвестиции в основной капитал (капитальные вложения)", действующего на дату пересчета сметной документации и рассчитанного для периода с даты утверждения такой проектной документации до даты пересчета сметной стоимости.</w:t>
      </w:r>
    </w:p>
    <w:p>
      <w:pPr>
        <w:pStyle w:val="0"/>
        <w:spacing w:before="200" w:line-rule="auto"/>
        <w:ind w:firstLine="540"/>
        <w:jc w:val="both"/>
      </w:pPr>
      <w:r>
        <w:rPr>
          <w:sz w:val="20"/>
        </w:rPr>
        <w:t xml:space="preserve">Если для определения НМЦК использовалась сметная документация, сформированная с использованием ТЕР-2001 в уровне цен на дату утверждения проектной документации с учетом установленных федеральным законом и принимаемыми в соответствии с ним законами и иными нормативными правовыми актами органов государственной власти субъекта Российской Федерации особенностей ценообразования и сметного нормирования, а также с применением документов в сфере ценообразования и сметного нормирования в области градостроительной деятельности, которые утверждены органами исполнительной власти субъектов Российской Федерации в порядке, установленном до 3 июля 2016 года в соответствии с </w:t>
      </w:r>
      <w:hyperlink w:history="0" r:id="rId124"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частью 1 статьи 3</w:t>
        </w:r>
      </w:hyperlink>
      <w:r>
        <w:rPr>
          <w:sz w:val="20"/>
        </w:rPr>
        <w:t xml:space="preserve"> Федерального закона N 191-ФЗ, то пересчет сметной стоимости осуществляется в порядке, аналогичном порядку составления сметной документации, используемой для расчета начальной (максимальной) цены контракта.</w:t>
      </w:r>
    </w:p>
    <w:p>
      <w:pPr>
        <w:pStyle w:val="0"/>
        <w:spacing w:before="200" w:line-rule="auto"/>
        <w:ind w:firstLine="540"/>
        <w:jc w:val="both"/>
      </w:pPr>
      <w:r>
        <w:rPr>
          <w:sz w:val="20"/>
        </w:rPr>
        <w:t xml:space="preserve">Определение сметной стоимости всех работ, предусмотренных проектной документацией, используемой при определении НМЦК, в уровне цен на дату выполнения Расчета (Ц</w:t>
      </w:r>
      <w:r>
        <w:rPr>
          <w:sz w:val="20"/>
          <w:vertAlign w:val="subscript"/>
        </w:rPr>
        <w:t xml:space="preserve">нов</w:t>
      </w:r>
      <w:r>
        <w:rPr>
          <w:sz w:val="20"/>
        </w:rPr>
        <w:t xml:space="preserve">) осуществляется по формуле:</w:t>
      </w:r>
    </w:p>
    <w:p>
      <w:pPr>
        <w:pStyle w:val="0"/>
        <w:jc w:val="both"/>
      </w:pPr>
      <w:r>
        <w:rPr>
          <w:sz w:val="20"/>
        </w:rPr>
      </w:r>
    </w:p>
    <w:p>
      <w:pPr>
        <w:pStyle w:val="0"/>
        <w:jc w:val="center"/>
      </w:pPr>
      <w:r>
        <w:rPr>
          <w:sz w:val="20"/>
        </w:rPr>
        <w:t xml:space="preserve">Ц</w:t>
      </w:r>
      <w:r>
        <w:rPr>
          <w:sz w:val="20"/>
          <w:vertAlign w:val="subscript"/>
        </w:rPr>
        <w:t xml:space="preserve">нов</w:t>
      </w:r>
      <w:r>
        <w:rPr>
          <w:sz w:val="20"/>
        </w:rPr>
        <w:t xml:space="preserve"> = (С</w:t>
      </w:r>
      <w:r>
        <w:rPr>
          <w:sz w:val="20"/>
          <w:vertAlign w:val="subscript"/>
        </w:rPr>
        <w:t xml:space="preserve">смр</w:t>
      </w:r>
      <w:r>
        <w:rPr>
          <w:sz w:val="20"/>
        </w:rPr>
        <w:t xml:space="preserve"> + С</w:t>
      </w:r>
      <w:r>
        <w:rPr>
          <w:sz w:val="20"/>
          <w:vertAlign w:val="subscript"/>
        </w:rPr>
        <w:t xml:space="preserve">пр</w:t>
      </w:r>
      <w:r>
        <w:rPr>
          <w:sz w:val="20"/>
        </w:rPr>
        <w:t xml:space="preserve"> + С</w:t>
      </w:r>
      <w:r>
        <w:rPr>
          <w:sz w:val="20"/>
          <w:vertAlign w:val="subscript"/>
        </w:rPr>
        <w:t xml:space="preserve">об</w:t>
      </w:r>
      <w:r>
        <w:rPr>
          <w:sz w:val="20"/>
        </w:rPr>
        <w:t xml:space="preserve">) + НДС,</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С</w:t>
      </w:r>
      <w:r>
        <w:rPr>
          <w:sz w:val="20"/>
          <w:vertAlign w:val="subscript"/>
        </w:rPr>
        <w:t xml:space="preserve">смр</w:t>
      </w:r>
      <w:r>
        <w:rPr>
          <w:sz w:val="20"/>
        </w:rPr>
        <w:t xml:space="preserve"> - сметная стоимость всех строительно-монтажных работ, предусмотренных проектной документацией, используемой при определении НМЦК, в уровне цен на дату выполнения Расчета. Показатель С</w:t>
      </w:r>
      <w:r>
        <w:rPr>
          <w:sz w:val="20"/>
          <w:vertAlign w:val="subscript"/>
        </w:rPr>
        <w:t xml:space="preserve">смр</w:t>
      </w:r>
      <w:r>
        <w:rPr>
          <w:sz w:val="20"/>
        </w:rPr>
        <w:t xml:space="preserve"> определяется как произведение общей сметной стоимости всех строительно-монтажных работ, предусмотренных проектной документацией, используемой при определении НМЦК, в уровне цен по состоянию на 01.01.2000 на индекс к СМР, действующий на дату выполнения Расчета. В случае отсутствия на дату выполнения Расчетов индекса к СМР, рассчитанного для применения к сметной стоимости СМР в целом по объекту строительства, применяются индексы изменения сметной стоимости к элементам прямых затрат, размещаемые Министерством строительства и жилищно-коммунального хозяйства Российской Федерации в федеральной государственной информационной системе ценообразования в строительстве (далее - ФГИС ЦС) &lt;1&gt; и действующие на дату выполнения Расчетов. При пересчете используются показатели сметной стоимости прямых затрат, предусмотренные проектной документацией, используемой при определении НМЦК. Накладные расходы и сметная прибыль в уровне цен на дату выполнения Расчета определяются как произведение показателей накладных расходов и сметной прибыли в уровне цен по состоянию на 01.01.2000, предусмотренных проектной документацией, используемой при определении НМЦК, на индекс изменения сметной стоимости к оплате труда, действующий на дату выполнения Расчета;</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&lt;1&gt; </w:t>
      </w:r>
      <w:hyperlink w:history="0" r:id="rId125" w:tooltip="Приказ Минстроя России от 05.06.2019 N 326/пр (ред. от 20.02.2021) &quot;Об утверждении Методики расчета индексов изменения сметной стоимости строительства&quot; (Зарегистрировано в Минюсте России 10.09.2019 N 55869) {КонсультантПлюс}">
        <w:r>
          <w:rPr>
            <w:sz w:val="20"/>
            <w:color w:val="0000ff"/>
          </w:rPr>
          <w:t xml:space="preserve">Пункт 4</w:t>
        </w:r>
      </w:hyperlink>
      <w:r>
        <w:rPr>
          <w:sz w:val="20"/>
        </w:rPr>
        <w:t xml:space="preserve"> Методики расчета индексов изменения сметной стоимости строительства, утвержденной приказом Минстроя России от 5 июня 2019 г. N 326/пр (зарегистрирован Минюстом России 10 сентября 2019 г., регистрационный N 55869), с изменениями, внесенными приказом Минстроя России от 20 февраля 2021 г. N 79/пр (зарегистрирован Минюстом России 9 августа 2021 г., регистрационный N 64577).</w:t>
      </w:r>
    </w:p>
    <w:p>
      <w:pPr>
        <w:pStyle w:val="0"/>
        <w:jc w:val="both"/>
      </w:pPr>
      <w:r>
        <w:rPr>
          <w:sz w:val="20"/>
        </w:rPr>
      </w:r>
    </w:p>
    <w:p>
      <w:pPr>
        <w:pStyle w:val="0"/>
        <w:ind w:firstLine="540"/>
        <w:jc w:val="both"/>
      </w:pPr>
      <w:r>
        <w:rPr>
          <w:sz w:val="20"/>
        </w:rPr>
        <w:t xml:space="preserve">С</w:t>
      </w:r>
      <w:r>
        <w:rPr>
          <w:sz w:val="20"/>
          <w:vertAlign w:val="subscript"/>
        </w:rPr>
        <w:t xml:space="preserve">пр</w:t>
      </w:r>
      <w:r>
        <w:rPr>
          <w:sz w:val="20"/>
        </w:rPr>
        <w:t xml:space="preserve"> - сметная стоимость прочих работ и затрат, предусмотренных проектной документацией, используемой при определении НМЦК, в уровне цен на дату выполнения Расчета. Показатель С</w:t>
      </w:r>
      <w:r>
        <w:rPr>
          <w:sz w:val="20"/>
          <w:vertAlign w:val="subscript"/>
        </w:rPr>
        <w:t xml:space="preserve">пр</w:t>
      </w:r>
      <w:r>
        <w:rPr>
          <w:sz w:val="20"/>
        </w:rPr>
        <w:t xml:space="preserve"> определяется как произведение сметной стоимости прочих работ и затрат в уровне цен по состоянию на 01.01.2000 на индекс изменения сметной стоимости прочих работ и затрат, сообщаемый Министерством строительства и жилищно-коммунального хозяйства Российской Федерации и действующий на дату выполнения Расчетов;</w:t>
      </w:r>
    </w:p>
    <w:p>
      <w:pPr>
        <w:pStyle w:val="0"/>
        <w:spacing w:before="200" w:line-rule="auto"/>
        <w:ind w:firstLine="540"/>
        <w:jc w:val="both"/>
      </w:pPr>
      <w:r>
        <w:rPr>
          <w:sz w:val="20"/>
        </w:rPr>
        <w:t xml:space="preserve">С</w:t>
      </w:r>
      <w:r>
        <w:rPr>
          <w:sz w:val="20"/>
          <w:vertAlign w:val="subscript"/>
        </w:rPr>
        <w:t xml:space="preserve">об</w:t>
      </w:r>
      <w:r>
        <w:rPr>
          <w:sz w:val="20"/>
        </w:rPr>
        <w:t xml:space="preserve"> - сметная стоимость оборудования, предусмотренная проектной документацией, используемой при определении НМЦК, в уровне цен на дату выполнения Расчета. Показатель С</w:t>
      </w:r>
      <w:r>
        <w:rPr>
          <w:sz w:val="20"/>
          <w:vertAlign w:val="subscript"/>
        </w:rPr>
        <w:t xml:space="preserve">об</w:t>
      </w:r>
      <w:r>
        <w:rPr>
          <w:sz w:val="20"/>
        </w:rPr>
        <w:t xml:space="preserve"> определяется как произведение сметной стоимости оборудования в уровне цен по состоянию на 01.01.2000 на индекс изменения сметной стоимости оборудования, сообщаемый Министерством строительства и жилищно-коммунального хозяйства Российской Федерации и действующий на дату выполнения Расчетов;</w:t>
      </w:r>
    </w:p>
    <w:p>
      <w:pPr>
        <w:pStyle w:val="0"/>
        <w:spacing w:before="200" w:line-rule="auto"/>
        <w:ind w:firstLine="540"/>
        <w:jc w:val="both"/>
      </w:pPr>
      <w:r>
        <w:rPr>
          <w:sz w:val="20"/>
        </w:rPr>
        <w:t xml:space="preserve">НДС - налог на добавленную стоимость;";</w:t>
      </w:r>
    </w:p>
    <w:p>
      <w:pPr>
        <w:pStyle w:val="0"/>
        <w:spacing w:before="200" w:line-rule="auto"/>
        <w:ind w:firstLine="540"/>
        <w:jc w:val="both"/>
      </w:pPr>
      <w:r>
        <w:rPr>
          <w:sz w:val="20"/>
        </w:rPr>
        <w:t xml:space="preserve">б) </w:t>
      </w:r>
      <w:hyperlink w:history="0" r:id="rId126" w:tooltip="Приказ Минстроя России от 23.12.2019 N 841/пр (ред. от 25.02.2022) &quot;Об утверждении Порядка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в сфере градостроительной деятельности (за исключением территориального планирования) и Методики составления сметы контракта, предметом которого являются строительство, реконструкция объектов капитального строит ------------ Недействующая редакция {КонсультантПлюс}">
        <w:r>
          <w:rPr>
            <w:sz w:val="20"/>
            <w:color w:val="0000ff"/>
          </w:rPr>
          <w:t xml:space="preserve">подпункт "б"</w:t>
        </w:r>
      </w:hyperlink>
      <w:r>
        <w:rPr>
          <w:sz w:val="20"/>
        </w:rPr>
        <w:t xml:space="preserve"> изложить в новой редакции:</w:t>
      </w:r>
    </w:p>
    <w:p>
      <w:pPr>
        <w:pStyle w:val="0"/>
        <w:spacing w:before="200" w:line-rule="auto"/>
        <w:ind w:firstLine="540"/>
        <w:jc w:val="both"/>
      </w:pPr>
      <w:r>
        <w:rPr>
          <w:sz w:val="20"/>
        </w:rPr>
        <w:t xml:space="preserve">"б) б) осуществляется расчет коэффициента корректировки цены контракта (К</w:t>
      </w:r>
      <w:r>
        <w:rPr>
          <w:sz w:val="20"/>
          <w:vertAlign w:val="subscript"/>
        </w:rPr>
        <w:t xml:space="preserve">кор</w:t>
      </w:r>
      <w:r>
        <w:rPr>
          <w:sz w:val="20"/>
        </w:rPr>
        <w:t xml:space="preserve">), учитывающий рост стоимости работ, вызванный существенным возрастанием стоимости строительных ресурсов, который невозможно было предвидеть при заключении контракта, по формуле:</w:t>
      </w:r>
    </w:p>
    <w:p>
      <w:pPr>
        <w:pStyle w:val="0"/>
        <w:jc w:val="both"/>
      </w:pPr>
      <w:r>
        <w:rPr>
          <w:sz w:val="20"/>
        </w:rPr>
      </w:r>
    </w:p>
    <w:p>
      <w:pPr>
        <w:pStyle w:val="0"/>
        <w:jc w:val="center"/>
      </w:pPr>
      <w:r>
        <w:rPr>
          <w:sz w:val="20"/>
        </w:rPr>
        <w:t xml:space="preserve">К</w:t>
      </w:r>
      <w:r>
        <w:rPr>
          <w:sz w:val="20"/>
          <w:vertAlign w:val="subscript"/>
        </w:rPr>
        <w:t xml:space="preserve">кор</w:t>
      </w:r>
      <w:r>
        <w:rPr>
          <w:sz w:val="20"/>
        </w:rPr>
        <w:t xml:space="preserve"> = Ц</w:t>
      </w:r>
      <w:r>
        <w:rPr>
          <w:sz w:val="20"/>
          <w:vertAlign w:val="subscript"/>
        </w:rPr>
        <w:t xml:space="preserve">нов</w:t>
      </w:r>
      <w:r>
        <w:rPr>
          <w:sz w:val="20"/>
        </w:rPr>
        <w:t xml:space="preserve"> / (Ц</w:t>
      </w:r>
      <w:r>
        <w:rPr>
          <w:sz w:val="20"/>
          <w:vertAlign w:val="subscript"/>
        </w:rPr>
        <w:t xml:space="preserve">нмцк</w:t>
      </w:r>
      <w:r>
        <w:rPr>
          <w:sz w:val="20"/>
        </w:rPr>
        <w:t xml:space="preserve"> x И</w:t>
      </w:r>
      <w:r>
        <w:rPr>
          <w:sz w:val="20"/>
          <w:vertAlign w:val="subscript"/>
        </w:rPr>
        <w:t xml:space="preserve">деф</w:t>
      </w:r>
      <w:r>
        <w:rPr>
          <w:sz w:val="20"/>
        </w:rPr>
        <w:t xml:space="preserve">),</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Ц</w:t>
      </w:r>
      <w:r>
        <w:rPr>
          <w:sz w:val="20"/>
          <w:vertAlign w:val="subscript"/>
        </w:rPr>
        <w:t xml:space="preserve">нов</w:t>
      </w:r>
      <w:r>
        <w:rPr>
          <w:sz w:val="20"/>
        </w:rPr>
        <w:t xml:space="preserve"> - сметная стоимость всех работ, выполнение которых предусмотрено по контракту в уровне цен на дату выполнения Расчета;</w:t>
      </w:r>
    </w:p>
    <w:p>
      <w:pPr>
        <w:pStyle w:val="0"/>
        <w:spacing w:before="200" w:line-rule="auto"/>
        <w:ind w:firstLine="540"/>
        <w:jc w:val="both"/>
      </w:pPr>
      <w:r>
        <w:rPr>
          <w:sz w:val="20"/>
        </w:rPr>
        <w:t xml:space="preserve">Ц</w:t>
      </w:r>
      <w:r>
        <w:rPr>
          <w:sz w:val="20"/>
          <w:vertAlign w:val="subscript"/>
        </w:rPr>
        <w:t xml:space="preserve">нмцк</w:t>
      </w:r>
      <w:r>
        <w:rPr>
          <w:sz w:val="20"/>
        </w:rPr>
        <w:t xml:space="preserve"> - сметная стоимость всех работ, без учета внесенных в проектную документацию корректировок в части изменения физических объемов работ, конструктивных, организационно-технологических и других решений, в уровне цен утвержденной проектной документации. Для определения показателя Ц</w:t>
      </w:r>
      <w:r>
        <w:rPr>
          <w:sz w:val="20"/>
          <w:vertAlign w:val="subscript"/>
        </w:rPr>
        <w:t xml:space="preserve">нмцк</w:t>
      </w:r>
      <w:r>
        <w:rPr>
          <w:sz w:val="20"/>
        </w:rPr>
        <w:t xml:space="preserve"> используются показатели сметной стоимости, предусмотренные сметной документацией, входящей в состав утвержденной заказчиком проектной документации, без учета внесенных в проектную документацию корректировок в части изменения физических объемов работ, конструктивных, организационно-технологических и других решений.</w:t>
      </w:r>
    </w:p>
    <w:p>
      <w:pPr>
        <w:pStyle w:val="0"/>
        <w:spacing w:before="200" w:line-rule="auto"/>
        <w:ind w:firstLine="540"/>
        <w:jc w:val="both"/>
      </w:pPr>
      <w:r>
        <w:rPr>
          <w:sz w:val="20"/>
        </w:rPr>
        <w:t xml:space="preserve">Для объектов, сметная стоимость которых на момент Расчета определена с использованием индекса изменения сметной стоимости по виду объекта, не соответствующему учтенному в сметной документации, использованной при определении НМЦК (по виду объекта, наиболее полно отражающего его специфику), при определении показателя Ц</w:t>
      </w:r>
      <w:r>
        <w:rPr>
          <w:sz w:val="20"/>
          <w:vertAlign w:val="subscript"/>
        </w:rPr>
        <w:t xml:space="preserve">нмцк</w:t>
      </w:r>
      <w:r>
        <w:rPr>
          <w:sz w:val="20"/>
        </w:rPr>
        <w:t xml:space="preserve"> осуществляется пересчет из базисного уровня цен (по состоянию на 01.01.2000) в уровень цен на дату первого опубликования Индекса по виду объекта, учитывающего специфику строительства такого объекта и опубликованного для применения к сметной стоимости, определенной с использованием единичных расценок, в том числе их отдельных составляющих, соответствующих принятым при определении величины индекса для расчета показателя Ц</w:t>
      </w:r>
      <w:r>
        <w:rPr>
          <w:sz w:val="20"/>
          <w:vertAlign w:val="subscript"/>
        </w:rPr>
        <w:t xml:space="preserve">нов</w:t>
      </w:r>
      <w:r>
        <w:rPr>
          <w:sz w:val="20"/>
        </w:rPr>
        <w:t xml:space="preserve">.</w:t>
      </w:r>
    </w:p>
    <w:p>
      <w:pPr>
        <w:pStyle w:val="0"/>
        <w:spacing w:before="200" w:line-rule="auto"/>
        <w:ind w:firstLine="540"/>
        <w:jc w:val="both"/>
      </w:pPr>
      <w:r>
        <w:rPr>
          <w:sz w:val="20"/>
        </w:rPr>
        <w:t xml:space="preserve">В случае, если сметная стоимость работ определена с использованием ТЕР-2001 и на дату выполнения Расчета отсутствуют соответствующие индексы к СМР, разрабатываемые для применения к ТЕР-2001, то для определения показателя Ц</w:t>
      </w:r>
      <w:r>
        <w:rPr>
          <w:sz w:val="20"/>
          <w:vertAlign w:val="subscript"/>
        </w:rPr>
        <w:t xml:space="preserve">нмцк</w:t>
      </w:r>
      <w:r>
        <w:rPr>
          <w:sz w:val="20"/>
        </w:rPr>
        <w:t xml:space="preserve"> используются индексы к СМР, разработанные для применения к ФЕР-2001, действующие на дату утверждения проектной документации, используемой для определения НМЦК.</w:t>
      </w:r>
    </w:p>
    <w:p>
      <w:pPr>
        <w:pStyle w:val="0"/>
        <w:spacing w:before="200" w:line-rule="auto"/>
        <w:ind w:firstLine="540"/>
        <w:jc w:val="both"/>
      </w:pPr>
      <w:r>
        <w:rPr>
          <w:sz w:val="20"/>
        </w:rPr>
        <w:t xml:space="preserve">Определение показателя Ц</w:t>
      </w:r>
      <w:r>
        <w:rPr>
          <w:sz w:val="20"/>
          <w:vertAlign w:val="subscript"/>
        </w:rPr>
        <w:t xml:space="preserve">нмцк</w:t>
      </w:r>
      <w:r>
        <w:rPr>
          <w:sz w:val="20"/>
        </w:rPr>
        <w:t xml:space="preserve"> для субъектов Российской Федерации, в которых после определения НМЦК нормативными правовыми актами высшего исполнительного органа государственной власти субъекта Российской Федерации части территории таких субъектов Российской Федерации определены как самостоятельные ценовые зоны или ценовые зоны изменились, осуществляется с использованием индексов, размещенных Министерством строительства и жилищно-коммунального хозяйства Российской Федерации для первой ценовой зоны субъекта Российской Федерации в ФГИС ЦС.</w:t>
      </w:r>
    </w:p>
    <w:p>
      <w:pPr>
        <w:pStyle w:val="0"/>
        <w:spacing w:before="200" w:line-rule="auto"/>
        <w:ind w:firstLine="540"/>
        <w:jc w:val="both"/>
      </w:pPr>
      <w:r>
        <w:rPr>
          <w:sz w:val="20"/>
        </w:rPr>
        <w:t xml:space="preserve">В случае, если год выполнения Расчета соответствует году первого опубликования Индексов по виду объекта, а также в случае, если Индекс по виду объекта впервые размещен Министерством строительства и жилищно-коммунального хозяйства Российской Федерации в ФГИС ЦС до вступления в силу </w:t>
      </w:r>
      <w:hyperlink w:history="0" r:id="rId127" w:tooltip="Постановление Правительства РФ от 15.05.2019 N 604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Российской Федерации от 15 мая 2019 г. N 604 "О внесении изменений в некоторые акты Правительства Российской Федерации" (Собрание законодательства Российской Федерации, 2019, N 21, ст. 2566), то при расчете показателя Ц</w:t>
      </w:r>
      <w:r>
        <w:rPr>
          <w:sz w:val="20"/>
          <w:vertAlign w:val="subscript"/>
        </w:rPr>
        <w:t xml:space="preserve">нмцк</w:t>
      </w:r>
      <w:r>
        <w:rPr>
          <w:sz w:val="20"/>
        </w:rPr>
        <w:t xml:space="preserve"> используются показатели сметной стоимости строительно-монтажных работ, предусмотренные сметной документацией, входящей в состав утвержденной заказчиком проектной документации, без ее пересчета. При этом сметная стоимость строительных материалов и (или) оборудования, принятых в сметной документации по фактической стоимости на основании прейскурантов, коммерческих предложений, прайс-листов, при определении показателя Ц</w:t>
      </w:r>
      <w:r>
        <w:rPr>
          <w:sz w:val="20"/>
          <w:vertAlign w:val="subscript"/>
        </w:rPr>
        <w:t xml:space="preserve">нмцк</w:t>
      </w:r>
      <w:r>
        <w:rPr>
          <w:sz w:val="20"/>
        </w:rPr>
        <w:t xml:space="preserve"> пересчету не подлежит;</w:t>
      </w:r>
    </w:p>
    <w:p>
      <w:pPr>
        <w:pStyle w:val="0"/>
        <w:spacing w:before="200" w:line-rule="auto"/>
        <w:ind w:firstLine="540"/>
        <w:jc w:val="both"/>
      </w:pPr>
      <w:r>
        <w:rPr>
          <w:sz w:val="20"/>
        </w:rPr>
        <w:t xml:space="preserve">И</w:t>
      </w:r>
      <w:r>
        <w:rPr>
          <w:sz w:val="20"/>
          <w:vertAlign w:val="subscript"/>
        </w:rPr>
        <w:t xml:space="preserve">деф</w:t>
      </w:r>
      <w:r>
        <w:rPr>
          <w:sz w:val="20"/>
        </w:rPr>
        <w:t xml:space="preserve"> - индекс-дефлятор Министерства экономического развития Российской Федерации по строке "Инвестиции в основной капитал (капитальные вложения)", действующий на дату определения НМЦК и рассчитываемый для периода с даты определения показателя Ц</w:t>
      </w:r>
      <w:r>
        <w:rPr>
          <w:sz w:val="20"/>
          <w:vertAlign w:val="subscript"/>
        </w:rPr>
        <w:t xml:space="preserve">нмцк</w:t>
      </w:r>
      <w:r>
        <w:rPr>
          <w:sz w:val="20"/>
        </w:rPr>
        <w:t xml:space="preserve"> по дату выполнения Расчета;";</w:t>
      </w:r>
    </w:p>
    <w:p>
      <w:pPr>
        <w:pStyle w:val="0"/>
        <w:spacing w:before="200" w:line-rule="auto"/>
        <w:ind w:firstLine="540"/>
        <w:jc w:val="both"/>
      </w:pPr>
      <w:r>
        <w:rPr>
          <w:sz w:val="20"/>
        </w:rPr>
        <w:t xml:space="preserve">в) </w:t>
      </w:r>
      <w:hyperlink w:history="0" r:id="rId128" w:tooltip="Приказ Минстроя России от 23.12.2019 N 841/пр (ред. от 25.02.2022) &quot;Об утверждении Порядка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в сфере градостроительной деятельности (за исключением территориального планирования) и Методики составления сметы контракта, предметом которого являются строительство, реконструкция объектов капитального строит ------------ Недействующая редакция {КонсультантПлюс}">
        <w:r>
          <w:rPr>
            <w:sz w:val="20"/>
            <w:color w:val="0000ff"/>
          </w:rPr>
          <w:t xml:space="preserve">подпункт "в"</w:t>
        </w:r>
      </w:hyperlink>
      <w:r>
        <w:rPr>
          <w:sz w:val="20"/>
        </w:rPr>
        <w:t xml:space="preserve"> изложить в новой редакции:</w:t>
      </w:r>
    </w:p>
    <w:p>
      <w:pPr>
        <w:pStyle w:val="0"/>
        <w:spacing w:before="200" w:line-rule="auto"/>
        <w:ind w:firstLine="540"/>
        <w:jc w:val="both"/>
      </w:pPr>
      <w:r>
        <w:rPr>
          <w:sz w:val="20"/>
        </w:rPr>
        <w:t xml:space="preserve">"в) осуществляется расчет новой цены контракта по формуле:</w:t>
      </w:r>
    </w:p>
    <w:p>
      <w:pPr>
        <w:pStyle w:val="0"/>
        <w:jc w:val="both"/>
      </w:pPr>
      <w:r>
        <w:rPr>
          <w:sz w:val="20"/>
        </w:rPr>
      </w:r>
    </w:p>
    <w:p>
      <w:pPr>
        <w:pStyle w:val="0"/>
        <w:jc w:val="center"/>
      </w:pPr>
      <w:r>
        <w:rPr>
          <w:sz w:val="20"/>
        </w:rPr>
        <w:t xml:space="preserve">С</w:t>
      </w:r>
      <w:r>
        <w:rPr>
          <w:sz w:val="20"/>
          <w:vertAlign w:val="subscript"/>
        </w:rPr>
        <w:t xml:space="preserve">н.цена</w:t>
      </w:r>
      <w:r>
        <w:rPr>
          <w:sz w:val="20"/>
        </w:rPr>
        <w:t xml:space="preserve"> = С</w:t>
      </w:r>
      <w:r>
        <w:rPr>
          <w:sz w:val="20"/>
          <w:vertAlign w:val="subscript"/>
        </w:rPr>
        <w:t xml:space="preserve">вып.р1</w:t>
      </w:r>
      <w:r>
        <w:rPr>
          <w:sz w:val="20"/>
        </w:rPr>
        <w:t xml:space="preserve"> + (С</w:t>
      </w:r>
      <w:r>
        <w:rPr>
          <w:sz w:val="20"/>
          <w:vertAlign w:val="subscript"/>
        </w:rPr>
        <w:t xml:space="preserve">сущ.ц</w:t>
      </w:r>
      <w:r>
        <w:rPr>
          <w:sz w:val="20"/>
        </w:rPr>
        <w:t xml:space="preserve"> - С</w:t>
      </w:r>
      <w:r>
        <w:rPr>
          <w:sz w:val="20"/>
          <w:vertAlign w:val="subscript"/>
        </w:rPr>
        <w:t xml:space="preserve">вып.р1</w:t>
      </w:r>
      <w:r>
        <w:rPr>
          <w:sz w:val="20"/>
        </w:rPr>
        <w:t xml:space="preserve"> - С</w:t>
      </w:r>
      <w:r>
        <w:rPr>
          <w:sz w:val="20"/>
          <w:vertAlign w:val="subscript"/>
        </w:rPr>
        <w:t xml:space="preserve">вып.р2</w:t>
      </w:r>
      <w:r>
        <w:rPr>
          <w:sz w:val="20"/>
        </w:rPr>
        <w:t xml:space="preserve">) x К</w:t>
      </w:r>
      <w:r>
        <w:rPr>
          <w:sz w:val="20"/>
          <w:vertAlign w:val="subscript"/>
        </w:rPr>
        <w:t xml:space="preserve">кор</w:t>
      </w:r>
      <w:r>
        <w:rPr>
          <w:sz w:val="20"/>
        </w:rPr>
        <w:t xml:space="preserve"> +</w:t>
      </w:r>
    </w:p>
    <w:p>
      <w:pPr>
        <w:pStyle w:val="0"/>
        <w:jc w:val="center"/>
      </w:pPr>
      <w:r>
        <w:rPr>
          <w:sz w:val="20"/>
        </w:rPr>
        <w:t xml:space="preserve">+ С</w:t>
      </w:r>
      <w:r>
        <w:rPr>
          <w:sz w:val="20"/>
          <w:vertAlign w:val="subscript"/>
        </w:rPr>
        <w:t xml:space="preserve">в.р.нов</w:t>
      </w:r>
      <w:r>
        <w:rPr>
          <w:sz w:val="20"/>
        </w:rPr>
        <w:t xml:space="preserve">,</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С</w:t>
      </w:r>
      <w:r>
        <w:rPr>
          <w:sz w:val="20"/>
          <w:vertAlign w:val="subscript"/>
        </w:rPr>
        <w:t xml:space="preserve">н.цена</w:t>
      </w:r>
      <w:r>
        <w:rPr>
          <w:sz w:val="20"/>
        </w:rPr>
        <w:t xml:space="preserve"> - цена работ по новой (откорректированной) смете контракта в уровне цен исполнения контракта;</w:t>
      </w:r>
    </w:p>
    <w:p>
      <w:pPr>
        <w:pStyle w:val="0"/>
        <w:spacing w:before="200" w:line-rule="auto"/>
        <w:ind w:firstLine="540"/>
        <w:jc w:val="both"/>
      </w:pPr>
      <w:r>
        <w:rPr>
          <w:sz w:val="20"/>
        </w:rPr>
        <w:t xml:space="preserve">С</w:t>
      </w:r>
      <w:r>
        <w:rPr>
          <w:sz w:val="20"/>
          <w:vertAlign w:val="subscript"/>
        </w:rPr>
        <w:t xml:space="preserve">сущ.ц</w:t>
      </w:r>
      <w:r>
        <w:rPr>
          <w:sz w:val="20"/>
        </w:rPr>
        <w:t xml:space="preserve"> - цена работ по действующей смете контракта в уровне цен исполнения контракта;</w:t>
      </w:r>
    </w:p>
    <w:p>
      <w:pPr>
        <w:pStyle w:val="0"/>
        <w:spacing w:before="200" w:line-rule="auto"/>
        <w:ind w:firstLine="540"/>
        <w:jc w:val="both"/>
      </w:pPr>
      <w:r>
        <w:rPr>
          <w:sz w:val="20"/>
        </w:rPr>
        <w:t xml:space="preserve">С</w:t>
      </w:r>
      <w:r>
        <w:rPr>
          <w:sz w:val="20"/>
          <w:vertAlign w:val="subscript"/>
        </w:rPr>
        <w:t xml:space="preserve">вып.р1</w:t>
      </w:r>
      <w:r>
        <w:rPr>
          <w:sz w:val="20"/>
        </w:rPr>
        <w:t xml:space="preserve"> - цена работ, выполненных и принятых заказчиком на дату представления Расчета по действующей смете контракта в уровне цен исполнения контракта;</w:t>
      </w:r>
    </w:p>
    <w:p>
      <w:pPr>
        <w:pStyle w:val="0"/>
        <w:spacing w:before="200" w:line-rule="auto"/>
        <w:ind w:firstLine="540"/>
        <w:jc w:val="both"/>
      </w:pPr>
      <w:r>
        <w:rPr>
          <w:sz w:val="20"/>
        </w:rPr>
        <w:t xml:space="preserve">С</w:t>
      </w:r>
      <w:r>
        <w:rPr>
          <w:sz w:val="20"/>
          <w:vertAlign w:val="subscript"/>
        </w:rPr>
        <w:t xml:space="preserve">вып.р2</w:t>
      </w:r>
      <w:r>
        <w:rPr>
          <w:sz w:val="20"/>
        </w:rPr>
        <w:t xml:space="preserve"> - цена работ, выполненных и принятых заказчиком в период от даты выполнения Расчета до даты заключения дополнительного соглашения об изменении цены контракта, по действующей смете контракта в уровне цен исполнения контракта;</w:t>
      </w:r>
    </w:p>
    <w:p>
      <w:pPr>
        <w:pStyle w:val="0"/>
        <w:spacing w:before="200" w:line-rule="auto"/>
        <w:ind w:firstLine="540"/>
        <w:jc w:val="both"/>
      </w:pPr>
      <w:r>
        <w:rPr>
          <w:sz w:val="20"/>
        </w:rPr>
        <w:t xml:space="preserve">К</w:t>
      </w:r>
      <w:r>
        <w:rPr>
          <w:sz w:val="20"/>
          <w:vertAlign w:val="subscript"/>
        </w:rPr>
        <w:t xml:space="preserve">кор</w:t>
      </w:r>
      <w:r>
        <w:rPr>
          <w:sz w:val="20"/>
        </w:rPr>
        <w:t xml:space="preserve"> - коэффициент корректировки цены контракта, рассчитанный в соответствии с подпунктом "б" настоящего пункта;</w:t>
      </w:r>
    </w:p>
    <w:p>
      <w:pPr>
        <w:pStyle w:val="0"/>
        <w:spacing w:before="200" w:line-rule="auto"/>
        <w:ind w:firstLine="540"/>
        <w:jc w:val="both"/>
      </w:pPr>
      <w:r>
        <w:rPr>
          <w:sz w:val="20"/>
        </w:rPr>
        <w:t xml:space="preserve">С</w:t>
      </w:r>
      <w:r>
        <w:rPr>
          <w:sz w:val="20"/>
          <w:vertAlign w:val="subscript"/>
        </w:rPr>
        <w:t xml:space="preserve">в.р.нов</w:t>
      </w:r>
      <w:r>
        <w:rPr>
          <w:sz w:val="20"/>
        </w:rPr>
        <w:t xml:space="preserve"> - откорректированная цена работ, выполненных подрядчиком и оплаченных заказчиком в период от даты выполнения Расчета до даты заключения дополнительного соглашения об изменении цены контракта.</w:t>
      </w:r>
    </w:p>
    <w:p>
      <w:pPr>
        <w:pStyle w:val="0"/>
        <w:spacing w:before="200" w:line-rule="auto"/>
        <w:ind w:firstLine="540"/>
        <w:jc w:val="both"/>
      </w:pPr>
      <w:r>
        <w:rPr>
          <w:sz w:val="20"/>
        </w:rPr>
        <w:t xml:space="preserve">По соглашению сторон при расчете цены работ по новой (откорректированной) смете контракта в уровне цен исполнения контракта (С</w:t>
      </w:r>
      <w:r>
        <w:rPr>
          <w:sz w:val="20"/>
          <w:vertAlign w:val="subscript"/>
        </w:rPr>
        <w:t xml:space="preserve">н.цена</w:t>
      </w:r>
      <w:r>
        <w:rPr>
          <w:sz w:val="20"/>
        </w:rPr>
        <w:t xml:space="preserve">) может дополнительно учитываться увеличение цены работ, выполненных и принятых заказчиком в 2021 - 2022 гг. до даты представления Расчета (С</w:t>
      </w:r>
      <w:r>
        <w:rPr>
          <w:sz w:val="20"/>
          <w:vertAlign w:val="subscript"/>
        </w:rPr>
        <w:t xml:space="preserve">доп.р2</w:t>
      </w:r>
      <w:r>
        <w:rPr>
          <w:sz w:val="20"/>
        </w:rPr>
        <w:t xml:space="preserve">) по формуле:</w:t>
      </w:r>
    </w:p>
    <w:p>
      <w:pPr>
        <w:pStyle w:val="0"/>
        <w:jc w:val="both"/>
      </w:pPr>
      <w:r>
        <w:rPr>
          <w:sz w:val="20"/>
        </w:rPr>
      </w:r>
    </w:p>
    <w:p>
      <w:pPr>
        <w:pStyle w:val="0"/>
        <w:jc w:val="center"/>
      </w:pPr>
      <w:r>
        <w:rPr>
          <w:sz w:val="20"/>
        </w:rPr>
        <w:t xml:space="preserve">С</w:t>
      </w:r>
      <w:r>
        <w:rPr>
          <w:sz w:val="20"/>
          <w:vertAlign w:val="subscript"/>
        </w:rPr>
        <w:t xml:space="preserve">доп.р2</w:t>
      </w:r>
      <w:r>
        <w:rPr>
          <w:sz w:val="20"/>
        </w:rPr>
        <w:t xml:space="preserve"> = (С</w:t>
      </w:r>
      <w:r>
        <w:rPr>
          <w:sz w:val="20"/>
          <w:vertAlign w:val="subscript"/>
        </w:rPr>
        <w:t xml:space="preserve">вып.р3</w:t>
      </w:r>
      <w:r>
        <w:rPr>
          <w:sz w:val="20"/>
        </w:rPr>
        <w:t xml:space="preserve"> x К</w:t>
      </w:r>
      <w:r>
        <w:rPr>
          <w:sz w:val="20"/>
          <w:vertAlign w:val="subscript"/>
        </w:rPr>
        <w:t xml:space="preserve">кор</w:t>
      </w:r>
      <w:r>
        <w:rPr>
          <w:sz w:val="20"/>
        </w:rPr>
        <w:t xml:space="preserve">) - С</w:t>
      </w:r>
      <w:r>
        <w:rPr>
          <w:sz w:val="20"/>
          <w:vertAlign w:val="subscript"/>
        </w:rPr>
        <w:t xml:space="preserve">вып.р3</w:t>
      </w:r>
      <w:r>
        <w:rPr>
          <w:sz w:val="20"/>
        </w:rPr>
        <w:t xml:space="preserve">,</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С</w:t>
      </w:r>
      <w:r>
        <w:rPr>
          <w:sz w:val="20"/>
          <w:vertAlign w:val="subscript"/>
        </w:rPr>
        <w:t xml:space="preserve">доп.р2</w:t>
      </w:r>
      <w:r>
        <w:rPr>
          <w:sz w:val="20"/>
        </w:rPr>
        <w:t xml:space="preserve"> - увеличение цены работ, выполненных и принятых заказчиком в 2021 - 2022 гг. до даты представления Расчета, в связи с существенным возрастанием стоимости строительных ресурсов поставки подрядчика;</w:t>
      </w:r>
    </w:p>
    <w:p>
      <w:pPr>
        <w:pStyle w:val="0"/>
        <w:spacing w:before="200" w:line-rule="auto"/>
        <w:ind w:firstLine="540"/>
        <w:jc w:val="both"/>
      </w:pPr>
      <w:r>
        <w:rPr>
          <w:sz w:val="20"/>
        </w:rPr>
        <w:t xml:space="preserve">С</w:t>
      </w:r>
      <w:r>
        <w:rPr>
          <w:sz w:val="20"/>
          <w:vertAlign w:val="subscript"/>
        </w:rPr>
        <w:t xml:space="preserve">вып.р3</w:t>
      </w:r>
      <w:r>
        <w:rPr>
          <w:sz w:val="20"/>
        </w:rPr>
        <w:t xml:space="preserve"> - цена работ, выполненных и принятых заказчиком в 2021 - 2022 гг. до даты представления Расчета по действующей смете контракта в уровне цен исполнения контракта;</w:t>
      </w:r>
    </w:p>
    <w:p>
      <w:pPr>
        <w:pStyle w:val="0"/>
        <w:spacing w:before="200" w:line-rule="auto"/>
        <w:ind w:firstLine="540"/>
        <w:jc w:val="both"/>
      </w:pPr>
      <w:r>
        <w:rPr>
          <w:sz w:val="20"/>
        </w:rPr>
        <w:t xml:space="preserve">К</w:t>
      </w:r>
      <w:r>
        <w:rPr>
          <w:sz w:val="20"/>
          <w:vertAlign w:val="subscript"/>
        </w:rPr>
        <w:t xml:space="preserve">кор</w:t>
      </w:r>
      <w:r>
        <w:rPr>
          <w:sz w:val="20"/>
        </w:rPr>
        <w:t xml:space="preserve"> - коэффициент корректировки цены контракта;";</w:t>
      </w:r>
    </w:p>
    <w:p>
      <w:pPr>
        <w:pStyle w:val="0"/>
        <w:spacing w:before="200" w:line-rule="auto"/>
        <w:ind w:firstLine="540"/>
        <w:jc w:val="both"/>
      </w:pPr>
      <w:r>
        <w:rPr>
          <w:sz w:val="20"/>
        </w:rPr>
        <w:t xml:space="preserve">г) </w:t>
      </w:r>
      <w:hyperlink w:history="0" r:id="rId129" w:tooltip="Приказ Минстроя России от 23.12.2019 N 841/пр (ред. от 25.02.2022) &quot;Об утверждении Порядка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в сфере градостроительной деятельности (за исключением территориального планирования) и Методики составления сметы контракта, предметом которого являются строительство, реконструкция объектов капитального строит ------------ Недействующая редакция {КонсультантПлюс}">
        <w:r>
          <w:rPr>
            <w:sz w:val="20"/>
            <w:color w:val="0000ff"/>
          </w:rPr>
          <w:t xml:space="preserve">подпункт "г"</w:t>
        </w:r>
      </w:hyperlink>
      <w:r>
        <w:rPr>
          <w:sz w:val="20"/>
        </w:rPr>
        <w:t xml:space="preserve"> изложить в новой редакции:</w:t>
      </w:r>
    </w:p>
    <w:p>
      <w:pPr>
        <w:pStyle w:val="0"/>
        <w:spacing w:before="200" w:line-rule="auto"/>
        <w:ind w:firstLine="540"/>
        <w:jc w:val="both"/>
      </w:pPr>
      <w:r>
        <w:rPr>
          <w:sz w:val="20"/>
        </w:rPr>
        <w:t xml:space="preserve">"г) осуществляется корректировка сметы контракта с учетом рассчитанного коэффициента корректировки цены контракта (К</w:t>
      </w:r>
      <w:r>
        <w:rPr>
          <w:sz w:val="20"/>
          <w:vertAlign w:val="subscript"/>
        </w:rPr>
        <w:t xml:space="preserve">кор</w:t>
      </w:r>
      <w:r>
        <w:rPr>
          <w:sz w:val="20"/>
        </w:rPr>
        <w:t xml:space="preserve">) и пересчет остатков работ, не принятых заказчиком на дату выполнения Расчета.</w:t>
      </w:r>
    </w:p>
    <w:p>
      <w:pPr>
        <w:pStyle w:val="0"/>
        <w:spacing w:before="200" w:line-rule="auto"/>
        <w:ind w:firstLine="540"/>
        <w:jc w:val="both"/>
      </w:pPr>
      <w:r>
        <w:rPr>
          <w:sz w:val="20"/>
        </w:rPr>
        <w:t xml:space="preserve">Коэффициент корректировки цены контракта (К</w:t>
      </w:r>
      <w:r>
        <w:rPr>
          <w:sz w:val="20"/>
          <w:vertAlign w:val="subscript"/>
        </w:rPr>
        <w:t xml:space="preserve">кор</w:t>
      </w:r>
      <w:r>
        <w:rPr>
          <w:sz w:val="20"/>
        </w:rPr>
        <w:t xml:space="preserve">) распространяется на остатки работ, подлежащих выполнению в рамках исполнения контракта, в том числе на работы, потребность в которых возникла в результате внесения изменений до выполнения Расчета в проектную документацию, в части изменения физических объемов работ, конструктивных, организационно-технологических и других решений, внесенных по результатам повторной государственной экспертизы проектной документации, экспертного сопровождения или в соответствии с </w:t>
      </w:r>
      <w:hyperlink w:history="0" r:id="rId130" w:tooltip="&quot;Градостроительный кодекс Российской Федерации&quot; от 29.12.2004 N 190-ФЗ (ред. от 14.07.2022) (с изм. и доп., вступ. в силу с 01.09.2022) {КонсультантПлюс}">
        <w:r>
          <w:rPr>
            <w:sz w:val="20"/>
            <w:color w:val="0000ff"/>
          </w:rPr>
          <w:t xml:space="preserve">частью 3.8 статьи 49</w:t>
        </w:r>
      </w:hyperlink>
      <w:r>
        <w:rPr>
          <w:sz w:val="20"/>
        </w:rPr>
        <w:t xml:space="preserve"> Градостроительного кодекса Российской Федерации.</w:t>
      </w:r>
    </w:p>
    <w:p>
      <w:pPr>
        <w:pStyle w:val="0"/>
        <w:spacing w:before="200" w:line-rule="auto"/>
        <w:ind w:firstLine="540"/>
        <w:jc w:val="both"/>
      </w:pPr>
      <w:r>
        <w:rPr>
          <w:sz w:val="20"/>
        </w:rPr>
        <w:t xml:space="preserve">Пересчет остатков работ осуществляется путем умножения показателя цены работ на единицу измерения сметы контракта по оставшимся работам на коэффициент корректировки цены контракта (К</w:t>
      </w:r>
      <w:r>
        <w:rPr>
          <w:sz w:val="20"/>
          <w:vertAlign w:val="subscript"/>
        </w:rPr>
        <w:t xml:space="preserve">кор</w:t>
      </w:r>
      <w:r>
        <w:rPr>
          <w:sz w:val="20"/>
        </w:rPr>
        <w:t xml:space="preserve">). После утверждения заказчиком откорректированной сметы контракта заключается дополнительное соглашение об утверждении новой цены контракта;";</w:t>
      </w:r>
    </w:p>
    <w:p>
      <w:pPr>
        <w:pStyle w:val="0"/>
        <w:spacing w:before="200" w:line-rule="auto"/>
        <w:ind w:firstLine="540"/>
        <w:jc w:val="both"/>
      </w:pPr>
      <w:r>
        <w:rPr>
          <w:sz w:val="20"/>
        </w:rPr>
        <w:t xml:space="preserve">д) в </w:t>
      </w:r>
      <w:hyperlink w:history="0" r:id="rId131" w:tooltip="Приказ Минстроя России от 23.12.2019 N 841/пр (ред. от 25.02.2022) &quot;Об утверждении Порядка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в сфере градостроительной деятельности (за исключением территориального планирования) и Методики составления сметы контракта, предметом которого являются строительство, реконструкция объектов капитального строит ------------ Недействующая редакция {КонсультантПлюс}">
        <w:r>
          <w:rPr>
            <w:sz w:val="20"/>
            <w:color w:val="0000ff"/>
          </w:rPr>
          <w:t xml:space="preserve">подпункте "д"</w:t>
        </w:r>
      </w:hyperlink>
      <w:r>
        <w:rPr>
          <w:sz w:val="20"/>
        </w:rPr>
        <w:t xml:space="preserve"> слова "в 2021 г." заменить словами "в 2021 - 2022 гг.".</w:t>
      </w:r>
    </w:p>
    <w:p>
      <w:pPr>
        <w:pStyle w:val="0"/>
        <w:spacing w:before="200" w:line-rule="auto"/>
        <w:ind w:firstLine="540"/>
        <w:jc w:val="both"/>
      </w:pPr>
      <w:r>
        <w:rPr>
          <w:sz w:val="20"/>
        </w:rPr>
        <w:t xml:space="preserve">3.15. </w:t>
      </w:r>
      <w:hyperlink w:history="0" r:id="rId132" w:tooltip="Приказ Минстроя России от 23.12.2019 N 841/пр (ред. от 25.02.2022) &quot;Об утверждении Порядка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в сфере градостроительной деятельности (за исключением территориального планирования) и Методики составления сметы контракта, предметом которого являются строительство, реконструкция объектов капитального строит ------------ Недействующая редакция {КонсультантПлюс}">
        <w:r>
          <w:rPr>
            <w:sz w:val="20"/>
            <w:color w:val="0000ff"/>
          </w:rPr>
          <w:t xml:space="preserve">Пункт 14.3</w:t>
        </w:r>
      </w:hyperlink>
      <w:r>
        <w:rPr>
          <w:sz w:val="20"/>
        </w:rPr>
        <w:t xml:space="preserve"> изложить в новой редакции:</w:t>
      </w:r>
    </w:p>
    <w:p>
      <w:pPr>
        <w:pStyle w:val="0"/>
        <w:spacing w:before="200" w:line-rule="auto"/>
        <w:ind w:firstLine="540"/>
        <w:jc w:val="both"/>
      </w:pPr>
      <w:r>
        <w:rPr>
          <w:sz w:val="20"/>
        </w:rPr>
        <w:t xml:space="preserve">"14.3. Для контрактов, цена которых составляет или превышает 100 млн. руб., сметная документация, пересчитанная в соответствии с подпунктом "а" пункта 14.2 Методики, направляется заявителем (техническим заказчиком, застройщиком или уполномоченным кем-либо из них лицом) в уполномоченную организацию по проведению государственной экспертизы для проведения повторной государственной экспертизы проектной документации в части проверки достоверности определения сметной стоимости в соответствии с </w:t>
      </w:r>
      <w:hyperlink w:history="0" r:id="rId133" w:tooltip="Постановление Правительства РФ от 05.03.2007 N 145 (ред. от 28.07.2022) &quot;О порядке организации и проведения государственной экспертизы проектной документации и результатов инженерных изысканий&quot; (с изм. и доп., вступ. в силу с 01.09.2022) {КонсультантПлюс}">
        <w:r>
          <w:rPr>
            <w:sz w:val="20"/>
            <w:color w:val="0000ff"/>
          </w:rPr>
          <w:t xml:space="preserve">пунктом 45(14)</w:t>
        </w:r>
      </w:hyperlink>
      <w:r>
        <w:rPr>
          <w:sz w:val="20"/>
        </w:rPr>
        <w:t xml:space="preserve"> Положения об организации и проведении государственной экспертизы проектной документации и результатов инженерных изысканий, утвержденного постановлением Правительства Российской Федерации от 5 марта 2007 г. N 145 (Собрание законодательства Российской Федерации, 2007, N 11, ст. 1336; 2022, N 13, ст. 2100) (далее - Положение N 145).</w:t>
      </w:r>
    </w:p>
    <w:p>
      <w:pPr>
        <w:pStyle w:val="0"/>
        <w:spacing w:before="200" w:line-rule="auto"/>
        <w:ind w:firstLine="540"/>
        <w:jc w:val="both"/>
      </w:pPr>
      <w:r>
        <w:rPr>
          <w:sz w:val="20"/>
        </w:rPr>
        <w:t xml:space="preserve">При формировании комплекта сметной документации, подлежащей направлению в уполномоченную организацию по проведению государственной экспертизы для проведения повторной государственной экспертизы проектной документации в части проверки достоверности определения сметной стоимости, в состав сводного сметного расчета стоимости строительства включаются затраты на проведение такой экспертизы.</w:t>
      </w:r>
    </w:p>
    <w:p>
      <w:pPr>
        <w:pStyle w:val="0"/>
        <w:spacing w:before="200" w:line-rule="auto"/>
        <w:ind w:firstLine="540"/>
        <w:jc w:val="both"/>
      </w:pPr>
      <w:r>
        <w:rPr>
          <w:sz w:val="20"/>
        </w:rPr>
        <w:t xml:space="preserve">Расчет коэффициента корректировки цены контракта (К</w:t>
      </w:r>
      <w:r>
        <w:rPr>
          <w:sz w:val="20"/>
          <w:vertAlign w:val="subscript"/>
        </w:rPr>
        <w:t xml:space="preserve">кор</w:t>
      </w:r>
      <w:r>
        <w:rPr>
          <w:sz w:val="20"/>
        </w:rPr>
        <w:t xml:space="preserve">) и новой цены контракта (С</w:t>
      </w:r>
      <w:r>
        <w:rPr>
          <w:sz w:val="20"/>
          <w:vertAlign w:val="subscript"/>
        </w:rPr>
        <w:t xml:space="preserve">н.цена</w:t>
      </w:r>
      <w:r>
        <w:rPr>
          <w:sz w:val="20"/>
        </w:rPr>
        <w:t xml:space="preserve">) осуществляется в соответствии с подпунктами "б" и "в" пункта 14.2 Методики после получения положительного заключения уполномоченной организации по проведению государственной экспертизы.</w:t>
      </w:r>
    </w:p>
    <w:p>
      <w:pPr>
        <w:pStyle w:val="0"/>
        <w:spacing w:before="200" w:line-rule="auto"/>
        <w:ind w:firstLine="540"/>
        <w:jc w:val="both"/>
      </w:pPr>
      <w:r>
        <w:rPr>
          <w:sz w:val="20"/>
        </w:rPr>
        <w:t xml:space="preserve">В отношении объектов капитального строительства, строительство которых осуществляется отдельными этапами (очередями, пусковыми комплексами), и на которые в составе первично представленной и получившей положительное заключение государственной экспертизы проектной документации были сформированы сводные сметные расчеты (к каждому отдельному этапу (очереди, пусковому комплексу), на основании которых были заключены государственные контракты (к каждому отдельному этапу (очереди, пусковому комплексу), для проведения повторной государственной экспертизы проектной документации в части проверки достоверности определения сметной стоимости представляются расчеты, выполненные на основании сметной документации на соответствующие отдельные этапы (очереди, пусковые комплексы), входящие в состав полного комплекта сметной документации объекта капитального строительства, используемой для расчета НМЦК, если заказчиком принято решение о выполнении Расчетов в отношении отдельных государственных контрактов.</w:t>
      </w:r>
    </w:p>
    <w:p>
      <w:pPr>
        <w:pStyle w:val="0"/>
        <w:spacing w:before="200" w:line-rule="auto"/>
        <w:ind w:firstLine="540"/>
        <w:jc w:val="both"/>
      </w:pPr>
      <w:r>
        <w:rPr>
          <w:sz w:val="20"/>
        </w:rPr>
        <w:t xml:space="preserve">При этом пересчет цены контракта в связи с существенным возрастанием стоимости строительных ресурсов поставки подрядчика выполняется отдельно в отношении каждого этапа (очереди, пускового комплекса) на основании расчетов, выполненных по результатам такой повторной проверки достоверности, если такое решение принято заказчиком.</w:t>
      </w:r>
    </w:p>
    <w:p>
      <w:pPr>
        <w:pStyle w:val="0"/>
        <w:spacing w:before="200" w:line-rule="auto"/>
        <w:ind w:firstLine="540"/>
        <w:jc w:val="both"/>
      </w:pPr>
      <w:r>
        <w:rPr>
          <w:sz w:val="20"/>
        </w:rPr>
        <w:t xml:space="preserve">В отношении контрактов, заключенных с различными подрядными организациями для реализации одного объекта, сметная стоимость которого в составе первично представленной и получившей положительное заключение государственной экспертизы проектной документации определена в целом по объекту капитального строительства без выделения отдельных этапов (очередей, пусковых комплексов), по результатам проведения в соответствии с </w:t>
      </w:r>
      <w:hyperlink w:history="0" r:id="rId134" w:tooltip="Постановление Правительства РФ от 05.03.2007 N 145 (ред. от 28.07.2022) &quot;О порядке организации и проведения государственной экспертизы проектной документации и результатов инженерных изысканий&quot; (с изм. и доп., вступ. в силу с 01.09.2022) {КонсультантПлюс}">
        <w:r>
          <w:rPr>
            <w:sz w:val="20"/>
            <w:color w:val="0000ff"/>
          </w:rPr>
          <w:t xml:space="preserve">пунктом 45(14)</w:t>
        </w:r>
      </w:hyperlink>
      <w:r>
        <w:rPr>
          <w:sz w:val="20"/>
        </w:rPr>
        <w:t xml:space="preserve"> Положения N 145 повторной государственной экспертизы проектной документации в части проверки достоверности определения сметной стоимости заказчик рассчитывает коэффициенты корректировки цены для каждого такого контракта.</w:t>
      </w:r>
    </w:p>
    <w:p>
      <w:pPr>
        <w:pStyle w:val="0"/>
        <w:spacing w:before="200" w:line-rule="auto"/>
        <w:ind w:firstLine="540"/>
        <w:jc w:val="both"/>
      </w:pPr>
      <w:r>
        <w:rPr>
          <w:sz w:val="20"/>
        </w:rPr>
        <w:t xml:space="preserve">Для этого по каждому такому контракту определяются показатели Ц</w:t>
      </w:r>
      <w:r>
        <w:rPr>
          <w:sz w:val="20"/>
          <w:vertAlign w:val="subscript"/>
        </w:rPr>
        <w:t xml:space="preserve">нов.эт.</w:t>
      </w:r>
      <w:r>
        <w:rPr>
          <w:sz w:val="20"/>
        </w:rPr>
        <w:t xml:space="preserve"> и Ц</w:t>
      </w:r>
      <w:r>
        <w:rPr>
          <w:sz w:val="20"/>
          <w:vertAlign w:val="subscript"/>
        </w:rPr>
        <w:t xml:space="preserve">нмцк.эт.</w:t>
      </w:r>
      <w:r>
        <w:rPr>
          <w:sz w:val="20"/>
        </w:rPr>
        <w:t xml:space="preserve"> При этом суммарная стоимость таких показателей по всем контрактам должна быть равна стоимости аналогичных показателей, приведенных в Расчете, в отношении которого выдано положительное заключение о достоверности определения сметной стоимости в соответствии с </w:t>
      </w:r>
      <w:hyperlink w:history="0" r:id="rId135" w:tooltip="Постановление Правительства РФ от 05.03.2007 N 145 (ред. от 28.07.2022) &quot;О порядке организации и проведения государственной экспертизы проектной документации и результатов инженерных изысканий&quot; (с изм. и доп., вступ. в силу с 01.09.2022) {КонсультантПлюс}">
        <w:r>
          <w:rPr>
            <w:sz w:val="20"/>
            <w:color w:val="0000ff"/>
          </w:rPr>
          <w:t xml:space="preserve">пунктом 45(14)</w:t>
        </w:r>
      </w:hyperlink>
      <w:r>
        <w:rPr>
          <w:sz w:val="20"/>
        </w:rPr>
        <w:t xml:space="preserve"> Положения N 145. Расчет показателя Ц</w:t>
      </w:r>
      <w:r>
        <w:rPr>
          <w:sz w:val="20"/>
          <w:vertAlign w:val="subscript"/>
        </w:rPr>
        <w:t xml:space="preserve">нмцк.эт.</w:t>
      </w:r>
      <w:r>
        <w:rPr>
          <w:sz w:val="20"/>
        </w:rPr>
        <w:t xml:space="preserve"> осуществляется по формуле:</w:t>
      </w:r>
    </w:p>
    <w:p>
      <w:pPr>
        <w:pStyle w:val="0"/>
        <w:jc w:val="both"/>
      </w:pPr>
      <w:r>
        <w:rPr>
          <w:sz w:val="20"/>
        </w:rPr>
      </w:r>
    </w:p>
    <w:p>
      <w:pPr>
        <w:pStyle w:val="0"/>
        <w:jc w:val="center"/>
      </w:pPr>
      <w:r>
        <w:rPr>
          <w:sz w:val="20"/>
        </w:rPr>
        <w:t xml:space="preserve">Ц</w:t>
      </w:r>
      <w:r>
        <w:rPr>
          <w:sz w:val="20"/>
          <w:vertAlign w:val="subscript"/>
        </w:rPr>
        <w:t xml:space="preserve">нмцк.эт.</w:t>
      </w:r>
      <w:r>
        <w:rPr>
          <w:sz w:val="20"/>
        </w:rPr>
        <w:t xml:space="preserve"> = Ц</w:t>
      </w:r>
      <w:r>
        <w:rPr>
          <w:sz w:val="20"/>
          <w:vertAlign w:val="subscript"/>
        </w:rPr>
        <w:t xml:space="preserve">нмцк.эт.1</w:t>
      </w:r>
      <w:r>
        <w:rPr>
          <w:sz w:val="20"/>
        </w:rPr>
        <w:t xml:space="preserve"> + Ц</w:t>
      </w:r>
      <w:r>
        <w:rPr>
          <w:sz w:val="20"/>
          <w:vertAlign w:val="subscript"/>
        </w:rPr>
        <w:t xml:space="preserve">нмцк.эт.2</w:t>
      </w:r>
      <w:r>
        <w:rPr>
          <w:sz w:val="20"/>
        </w:rPr>
        <w:t xml:space="preserve"> + ... + Ц</w:t>
      </w:r>
      <w:r>
        <w:rPr>
          <w:sz w:val="20"/>
          <w:vertAlign w:val="subscript"/>
        </w:rPr>
        <w:t xml:space="preserve">нмцк.эт.i</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Ц</w:t>
      </w:r>
      <w:r>
        <w:rPr>
          <w:sz w:val="20"/>
          <w:vertAlign w:val="subscript"/>
        </w:rPr>
        <w:t xml:space="preserve">нмцк.эт.</w:t>
      </w:r>
      <w:r>
        <w:rPr>
          <w:sz w:val="20"/>
        </w:rPr>
        <w:t xml:space="preserve"> - показатель, определенный при выполнении Расчета, в отношении которого выдано положительное заключение о достоверности определения сметной стоимости в соответствии с </w:t>
      </w:r>
      <w:hyperlink w:history="0" r:id="rId136" w:tooltip="Постановление Правительства РФ от 05.03.2007 N 145 (ред. от 28.07.2022) &quot;О порядке организации и проведения государственной экспертизы проектной документации и результатов инженерных изысканий&quot; (с изм. и доп., вступ. в силу с 01.09.2022) {КонсультантПлюс}">
        <w:r>
          <w:rPr>
            <w:sz w:val="20"/>
            <w:color w:val="0000ff"/>
          </w:rPr>
          <w:t xml:space="preserve">пунктом 45(14)</w:t>
        </w:r>
      </w:hyperlink>
      <w:r>
        <w:rPr>
          <w:sz w:val="20"/>
        </w:rPr>
        <w:t xml:space="preserve"> Положения N 145, в уровне цен на дату определения НМЦК;</w:t>
      </w:r>
    </w:p>
    <w:p>
      <w:pPr>
        <w:pStyle w:val="0"/>
        <w:spacing w:before="200" w:line-rule="auto"/>
        <w:ind w:firstLine="540"/>
        <w:jc w:val="both"/>
      </w:pPr>
      <w:r>
        <w:rPr>
          <w:sz w:val="20"/>
        </w:rPr>
        <w:t xml:space="preserve">Ц</w:t>
      </w:r>
      <w:r>
        <w:rPr>
          <w:sz w:val="20"/>
          <w:vertAlign w:val="subscript"/>
        </w:rPr>
        <w:t xml:space="preserve">нмцк.эт.1</w:t>
      </w:r>
      <w:r>
        <w:rPr>
          <w:sz w:val="20"/>
        </w:rPr>
        <w:t xml:space="preserve">, Ц</w:t>
      </w:r>
      <w:r>
        <w:rPr>
          <w:sz w:val="20"/>
          <w:vertAlign w:val="subscript"/>
        </w:rPr>
        <w:t xml:space="preserve">нмцк.эт.2</w:t>
      </w:r>
      <w:r>
        <w:rPr>
          <w:sz w:val="20"/>
        </w:rPr>
        <w:t xml:space="preserve">, Ц</w:t>
      </w:r>
      <w:r>
        <w:rPr>
          <w:sz w:val="20"/>
          <w:vertAlign w:val="subscript"/>
        </w:rPr>
        <w:t xml:space="preserve">нмцк.эт.i</w:t>
      </w:r>
      <w:r>
        <w:rPr>
          <w:sz w:val="20"/>
        </w:rPr>
        <w:t xml:space="preserve"> - показатели Ц</w:t>
      </w:r>
      <w:r>
        <w:rPr>
          <w:sz w:val="20"/>
          <w:vertAlign w:val="subscript"/>
        </w:rPr>
        <w:t xml:space="preserve">нмцк.эт.</w:t>
      </w:r>
      <w:r>
        <w:rPr>
          <w:sz w:val="20"/>
        </w:rPr>
        <w:t xml:space="preserve">, определенные по первому, второму, i-му контракту;</w:t>
      </w:r>
    </w:p>
    <w:p>
      <w:pPr>
        <w:pStyle w:val="0"/>
        <w:spacing w:before="200" w:line-rule="auto"/>
        <w:ind w:firstLine="540"/>
        <w:jc w:val="both"/>
      </w:pPr>
      <w:r>
        <w:rPr>
          <w:sz w:val="20"/>
        </w:rPr>
        <w:t xml:space="preserve">Расчет показателя Ц</w:t>
      </w:r>
      <w:r>
        <w:rPr>
          <w:sz w:val="20"/>
          <w:vertAlign w:val="subscript"/>
        </w:rPr>
        <w:t xml:space="preserve">нов.эт.</w:t>
      </w:r>
      <w:r>
        <w:rPr>
          <w:sz w:val="20"/>
        </w:rPr>
        <w:t xml:space="preserve"> осуществляется по формуле:</w:t>
      </w:r>
    </w:p>
    <w:p>
      <w:pPr>
        <w:pStyle w:val="0"/>
        <w:jc w:val="both"/>
      </w:pPr>
      <w:r>
        <w:rPr>
          <w:sz w:val="20"/>
        </w:rPr>
      </w:r>
    </w:p>
    <w:p>
      <w:pPr>
        <w:pStyle w:val="0"/>
        <w:jc w:val="center"/>
      </w:pPr>
      <w:r>
        <w:rPr>
          <w:sz w:val="20"/>
        </w:rPr>
        <w:t xml:space="preserve">Ц</w:t>
      </w:r>
      <w:r>
        <w:rPr>
          <w:sz w:val="20"/>
          <w:vertAlign w:val="subscript"/>
        </w:rPr>
        <w:t xml:space="preserve">нов.эт.</w:t>
      </w:r>
      <w:r>
        <w:rPr>
          <w:sz w:val="20"/>
        </w:rPr>
        <w:t xml:space="preserve"> = Ц</w:t>
      </w:r>
      <w:r>
        <w:rPr>
          <w:sz w:val="20"/>
          <w:vertAlign w:val="subscript"/>
        </w:rPr>
        <w:t xml:space="preserve">нов.эт.1</w:t>
      </w:r>
      <w:r>
        <w:rPr>
          <w:sz w:val="20"/>
        </w:rPr>
        <w:t xml:space="preserve"> + Ц</w:t>
      </w:r>
      <w:r>
        <w:rPr>
          <w:sz w:val="20"/>
          <w:vertAlign w:val="subscript"/>
        </w:rPr>
        <w:t xml:space="preserve">нов.эт.2</w:t>
      </w:r>
      <w:r>
        <w:rPr>
          <w:sz w:val="20"/>
        </w:rPr>
        <w:t xml:space="preserve"> + ... + Ц</w:t>
      </w:r>
      <w:r>
        <w:rPr>
          <w:sz w:val="20"/>
          <w:vertAlign w:val="subscript"/>
        </w:rPr>
        <w:t xml:space="preserve">нов.эт.i</w:t>
      </w:r>
    </w:p>
    <w:p>
      <w:pPr>
        <w:pStyle w:val="0"/>
        <w:jc w:val="both"/>
      </w:pPr>
      <w:r>
        <w:rPr>
          <w:sz w:val="20"/>
        </w:rPr>
      </w:r>
    </w:p>
    <w:p>
      <w:pPr>
        <w:pStyle w:val="0"/>
        <w:ind w:firstLine="540"/>
        <w:jc w:val="both"/>
      </w:pPr>
      <w:r>
        <w:rPr>
          <w:sz w:val="20"/>
        </w:rPr>
        <w:t xml:space="preserve">Ц</w:t>
      </w:r>
      <w:r>
        <w:rPr>
          <w:sz w:val="20"/>
          <w:vertAlign w:val="subscript"/>
        </w:rPr>
        <w:t xml:space="preserve">нов.эт.</w:t>
      </w:r>
      <w:r>
        <w:rPr>
          <w:sz w:val="20"/>
        </w:rPr>
        <w:t xml:space="preserve"> - показатель, определенный при выполнении Расчета, в отношении которого выдано положительное заключение о достоверности определения сметной стоимости в соответствии с </w:t>
      </w:r>
      <w:hyperlink w:history="0" r:id="rId137" w:tooltip="Постановление Правительства РФ от 05.03.2007 N 145 (ред. от 28.07.2022) &quot;О порядке организации и проведения государственной экспертизы проектной документации и результатов инженерных изысканий&quot; (с изм. и доп., вступ. в силу с 01.09.2022) {КонсультантПлюс}">
        <w:r>
          <w:rPr>
            <w:sz w:val="20"/>
            <w:color w:val="0000ff"/>
          </w:rPr>
          <w:t xml:space="preserve">пунктом 45(14)</w:t>
        </w:r>
      </w:hyperlink>
      <w:r>
        <w:rPr>
          <w:sz w:val="20"/>
        </w:rPr>
        <w:t xml:space="preserve"> Положения N 145, в уровне цен на дату выполнения Расчета;</w:t>
      </w:r>
    </w:p>
    <w:p>
      <w:pPr>
        <w:pStyle w:val="0"/>
        <w:spacing w:before="200" w:line-rule="auto"/>
        <w:ind w:firstLine="540"/>
        <w:jc w:val="both"/>
      </w:pPr>
      <w:r>
        <w:rPr>
          <w:sz w:val="20"/>
        </w:rPr>
        <w:t xml:space="preserve">Ц</w:t>
      </w:r>
      <w:r>
        <w:rPr>
          <w:sz w:val="20"/>
          <w:vertAlign w:val="subscript"/>
        </w:rPr>
        <w:t xml:space="preserve">нов.эт.1</w:t>
      </w:r>
      <w:r>
        <w:rPr>
          <w:sz w:val="20"/>
        </w:rPr>
        <w:t xml:space="preserve">, Ц</w:t>
      </w:r>
      <w:r>
        <w:rPr>
          <w:sz w:val="20"/>
          <w:vertAlign w:val="subscript"/>
        </w:rPr>
        <w:t xml:space="preserve">нов.эт.2</w:t>
      </w:r>
      <w:r>
        <w:rPr>
          <w:sz w:val="20"/>
        </w:rPr>
        <w:t xml:space="preserve">, Ц</w:t>
      </w:r>
      <w:r>
        <w:rPr>
          <w:sz w:val="20"/>
          <w:vertAlign w:val="subscript"/>
        </w:rPr>
        <w:t xml:space="preserve">нов.эт.i</w:t>
      </w:r>
      <w:r>
        <w:rPr>
          <w:sz w:val="20"/>
        </w:rPr>
        <w:t xml:space="preserve"> - показатели Ц</w:t>
      </w:r>
      <w:r>
        <w:rPr>
          <w:sz w:val="20"/>
          <w:vertAlign w:val="subscript"/>
        </w:rPr>
        <w:t xml:space="preserve">нов.эт.</w:t>
      </w:r>
      <w:r>
        <w:rPr>
          <w:sz w:val="20"/>
        </w:rPr>
        <w:t xml:space="preserve">, определенные по первому, второму, i-му контракту.</w:t>
      </w:r>
    </w:p>
    <w:p>
      <w:pPr>
        <w:pStyle w:val="0"/>
        <w:spacing w:before="200" w:line-rule="auto"/>
        <w:ind w:firstLine="540"/>
        <w:jc w:val="both"/>
      </w:pPr>
      <w:r>
        <w:rPr>
          <w:sz w:val="20"/>
        </w:rPr>
        <w:t xml:space="preserve">Коэффициенты корректировки цены контракта могут быть рассчитаны отдельно для оборудования и отдельно для остальных работ и затрат без учета оборудования, в случае если такое решение принято заказчиком. Для расчета таких коэффициентов определяются отдельные показатели Ц</w:t>
      </w:r>
      <w:r>
        <w:rPr>
          <w:sz w:val="20"/>
          <w:vertAlign w:val="subscript"/>
        </w:rPr>
        <w:t xml:space="preserve">нмцк</w:t>
      </w:r>
      <w:r>
        <w:rPr>
          <w:sz w:val="20"/>
        </w:rPr>
        <w:t xml:space="preserve">, Ц</w:t>
      </w:r>
      <w:r>
        <w:rPr>
          <w:sz w:val="20"/>
          <w:vertAlign w:val="subscript"/>
        </w:rPr>
        <w:t xml:space="preserve">нов</w:t>
      </w:r>
      <w:r>
        <w:rPr>
          <w:sz w:val="20"/>
        </w:rPr>
        <w:t xml:space="preserve">, Ц</w:t>
      </w:r>
      <w:r>
        <w:rPr>
          <w:sz w:val="20"/>
          <w:vertAlign w:val="subscript"/>
        </w:rPr>
        <w:t xml:space="preserve">нмцк.эт.</w:t>
      </w:r>
      <w:r>
        <w:rPr>
          <w:sz w:val="20"/>
        </w:rPr>
        <w:t xml:space="preserve">, Ц</w:t>
      </w:r>
      <w:r>
        <w:rPr>
          <w:sz w:val="20"/>
          <w:vertAlign w:val="subscript"/>
        </w:rPr>
        <w:t xml:space="preserve">нов.эт.</w:t>
      </w:r>
      <w:r>
        <w:rPr>
          <w:sz w:val="20"/>
        </w:rPr>
        <w:t xml:space="preserve">. При этом суммарная стоимость показателей Ц</w:t>
      </w:r>
      <w:r>
        <w:rPr>
          <w:sz w:val="20"/>
          <w:vertAlign w:val="subscript"/>
        </w:rPr>
        <w:t xml:space="preserve">нмцк</w:t>
      </w:r>
      <w:r>
        <w:rPr>
          <w:sz w:val="20"/>
        </w:rPr>
        <w:t xml:space="preserve">, Ц</w:t>
      </w:r>
      <w:r>
        <w:rPr>
          <w:sz w:val="20"/>
          <w:vertAlign w:val="subscript"/>
        </w:rPr>
        <w:t xml:space="preserve">нов</w:t>
      </w:r>
      <w:r>
        <w:rPr>
          <w:sz w:val="20"/>
        </w:rPr>
        <w:t xml:space="preserve">, Ц</w:t>
      </w:r>
      <w:r>
        <w:rPr>
          <w:sz w:val="20"/>
          <w:vertAlign w:val="subscript"/>
        </w:rPr>
        <w:t xml:space="preserve">нмцк.эт.</w:t>
      </w:r>
      <w:r>
        <w:rPr>
          <w:sz w:val="20"/>
        </w:rPr>
        <w:t xml:space="preserve">, Ц</w:t>
      </w:r>
      <w:r>
        <w:rPr>
          <w:sz w:val="20"/>
          <w:vertAlign w:val="subscript"/>
        </w:rPr>
        <w:t xml:space="preserve">нов.эт.</w:t>
      </w:r>
      <w:r>
        <w:rPr>
          <w:sz w:val="20"/>
        </w:rPr>
        <w:t xml:space="preserve">, определенных отдельно для оборудования и отдельно для остальных работ и затрат без учета оборудования, должна быть равна общей стоимости аналогичного показателя, определенного по Расчету, выполненного по объекту в целом.</w:t>
      </w:r>
    </w:p>
    <w:p>
      <w:pPr>
        <w:pStyle w:val="0"/>
        <w:spacing w:before="200" w:line-rule="auto"/>
        <w:ind w:firstLine="540"/>
        <w:jc w:val="both"/>
      </w:pPr>
      <w:r>
        <w:rPr>
          <w:sz w:val="20"/>
        </w:rPr>
        <w:t xml:space="preserve">Корректировка сметы контракта, пересчет остатков работ, не принятых заказчиком на дату выполнения Расчета, работ, выполненных подрядчиком и оплаченных заказчиком в 2021 - 2022 годах до даты выполнения Расчета, а также пересчет стоимости работ, выполненных в период от даты выполнения Расчета до даты заключения дополнительного соглашения об изменении цены контракта работ, осуществляется в соответствии с подпунктами "г" и "д" пункта 14.2 Методики.</w:t>
      </w:r>
    </w:p>
    <w:p>
      <w:pPr>
        <w:pStyle w:val="0"/>
        <w:spacing w:before="200" w:line-rule="auto"/>
        <w:ind w:firstLine="540"/>
        <w:jc w:val="both"/>
      </w:pPr>
      <w:r>
        <w:rPr>
          <w:sz w:val="20"/>
        </w:rPr>
        <w:t xml:space="preserve">При внесении изменений в смету контракта в связи с существенным возрастанием стоимости строительных ресурсов поставки подрядчика не требуется внесение изменений в сметную документацию, разработанную в составе проектной документации по объекту.</w:t>
      </w:r>
    </w:p>
    <w:p>
      <w:pPr>
        <w:pStyle w:val="0"/>
        <w:spacing w:before="200" w:line-rule="auto"/>
        <w:ind w:firstLine="540"/>
        <w:jc w:val="both"/>
      </w:pPr>
      <w:r>
        <w:rPr>
          <w:sz w:val="20"/>
        </w:rPr>
        <w:t xml:space="preserve">В случае установления особенностей ценообразования и сметного нормирования федеральным законом и принимаемыми в соответствии с ним законами и иными нормативными правовыми актами субъекта Российской Федерации показатель С</w:t>
      </w:r>
      <w:r>
        <w:rPr>
          <w:sz w:val="20"/>
          <w:vertAlign w:val="subscript"/>
        </w:rPr>
        <w:t xml:space="preserve">н.цена</w:t>
      </w:r>
      <w:r>
        <w:rPr>
          <w:sz w:val="20"/>
        </w:rPr>
        <w:t xml:space="preserve"> определяется в порядке, установленном нормативным правовым актом субъекта Российской Федерации.".</w:t>
      </w:r>
    </w:p>
    <w:p>
      <w:pPr>
        <w:pStyle w:val="0"/>
        <w:spacing w:before="200" w:line-rule="auto"/>
        <w:ind w:firstLine="540"/>
        <w:jc w:val="both"/>
      </w:pPr>
      <w:r>
        <w:rPr>
          <w:sz w:val="20"/>
        </w:rPr>
        <w:t xml:space="preserve">3.16. </w:t>
      </w:r>
      <w:hyperlink w:history="0" r:id="rId138" w:tooltip="Приказ Минстроя России от 23.12.2019 N 841/пр (ред. от 25.02.2022) &quot;Об утверждении Порядка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в сфере градостроительной деятельности (за исключением территориального планирования) и Методики составления сметы контракта, предметом которого являются строительство, реконструкция объектов капитального строит ------------ Недействующая редакция {КонсультантПлюс}">
        <w:r>
          <w:rPr>
            <w:sz w:val="20"/>
            <w:color w:val="0000ff"/>
          </w:rPr>
          <w:t xml:space="preserve">Дополнить</w:t>
        </w:r>
      </w:hyperlink>
      <w:r>
        <w:rPr>
          <w:sz w:val="20"/>
        </w:rPr>
        <w:t xml:space="preserve"> пунктами 14.4 - 14.6 следующего содержания:</w:t>
      </w:r>
    </w:p>
    <w:p>
      <w:pPr>
        <w:pStyle w:val="0"/>
        <w:spacing w:before="200" w:line-rule="auto"/>
        <w:ind w:firstLine="540"/>
        <w:jc w:val="both"/>
      </w:pPr>
      <w:r>
        <w:rPr>
          <w:sz w:val="20"/>
        </w:rPr>
        <w:t xml:space="preserve">"14.4. В случае существенного возрастания стоимости строительных ресурсов поставки подрядчика после первоначального расчета коэффициента корректировки цены контракта в соответствии с подпунктом "б" пункта 14.2 Методики допускается корректировка сметы контракта с применением индекса роста цен на строительные ресурсы за расчетный период (И</w:t>
      </w:r>
      <w:r>
        <w:rPr>
          <w:sz w:val="20"/>
          <w:vertAlign w:val="subscript"/>
        </w:rPr>
        <w:t xml:space="preserve">рц</w:t>
      </w:r>
      <w:r>
        <w:rPr>
          <w:sz w:val="20"/>
        </w:rPr>
        <w:t xml:space="preserve">).</w:t>
      </w:r>
    </w:p>
    <w:p>
      <w:pPr>
        <w:pStyle w:val="0"/>
        <w:spacing w:before="200" w:line-rule="auto"/>
        <w:ind w:firstLine="540"/>
        <w:jc w:val="both"/>
      </w:pPr>
      <w:r>
        <w:rPr>
          <w:sz w:val="20"/>
        </w:rPr>
        <w:t xml:space="preserve">Указанный индекс рассчитывается как отношение первоначально рассчитанного коэффициента корректировки цены контракта (К</w:t>
      </w:r>
      <w:r>
        <w:rPr>
          <w:sz w:val="20"/>
          <w:vertAlign w:val="subscript"/>
        </w:rPr>
        <w:t xml:space="preserve">кор</w:t>
      </w:r>
      <w:r>
        <w:rPr>
          <w:sz w:val="20"/>
        </w:rPr>
        <w:t xml:space="preserve">) к вновь рассчитанному коэффициенту корректировки цены контракта (К</w:t>
      </w:r>
      <w:r>
        <w:rPr>
          <w:sz w:val="20"/>
          <w:vertAlign w:val="subscript"/>
        </w:rPr>
        <w:t xml:space="preserve">кор.н</w:t>
      </w:r>
      <w:r>
        <w:rPr>
          <w:sz w:val="20"/>
        </w:rPr>
        <w:t xml:space="preserve">) по формуле:</w:t>
      </w:r>
    </w:p>
    <w:p>
      <w:pPr>
        <w:pStyle w:val="0"/>
        <w:jc w:val="both"/>
      </w:pPr>
      <w:r>
        <w:rPr>
          <w:sz w:val="20"/>
        </w:rPr>
      </w:r>
    </w:p>
    <w:p>
      <w:pPr>
        <w:pStyle w:val="0"/>
        <w:jc w:val="center"/>
      </w:pPr>
      <w:r>
        <w:rPr>
          <w:sz w:val="20"/>
        </w:rPr>
        <w:t xml:space="preserve">И</w:t>
      </w:r>
      <w:r>
        <w:rPr>
          <w:sz w:val="20"/>
          <w:vertAlign w:val="subscript"/>
        </w:rPr>
        <w:t xml:space="preserve">рц</w:t>
      </w:r>
      <w:r>
        <w:rPr>
          <w:sz w:val="20"/>
        </w:rPr>
        <w:t xml:space="preserve"> = К</w:t>
      </w:r>
      <w:r>
        <w:rPr>
          <w:sz w:val="20"/>
          <w:vertAlign w:val="subscript"/>
        </w:rPr>
        <w:t xml:space="preserve">кор.н</w:t>
      </w:r>
      <w:r>
        <w:rPr>
          <w:sz w:val="20"/>
        </w:rPr>
        <w:t xml:space="preserve"> / К</w:t>
      </w:r>
      <w:r>
        <w:rPr>
          <w:sz w:val="20"/>
          <w:vertAlign w:val="subscript"/>
        </w:rPr>
        <w:t xml:space="preserve">кор</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К</w:t>
      </w:r>
      <w:r>
        <w:rPr>
          <w:sz w:val="20"/>
          <w:vertAlign w:val="subscript"/>
        </w:rPr>
        <w:t xml:space="preserve">кор</w:t>
      </w:r>
      <w:r>
        <w:rPr>
          <w:sz w:val="20"/>
        </w:rPr>
        <w:t xml:space="preserve"> - коэффициент корректировки цены контракта, рассчитанный в первый раз в соответствии с подпунктом "б" пункта 14.2 Методики;</w:t>
      </w:r>
    </w:p>
    <w:p>
      <w:pPr>
        <w:pStyle w:val="0"/>
        <w:spacing w:before="200" w:line-rule="auto"/>
        <w:ind w:firstLine="540"/>
        <w:jc w:val="both"/>
      </w:pPr>
      <w:r>
        <w:rPr>
          <w:sz w:val="20"/>
        </w:rPr>
        <w:t xml:space="preserve">К</w:t>
      </w:r>
      <w:r>
        <w:rPr>
          <w:sz w:val="20"/>
          <w:vertAlign w:val="subscript"/>
        </w:rPr>
        <w:t xml:space="preserve">кор.н</w:t>
      </w:r>
      <w:r>
        <w:rPr>
          <w:sz w:val="20"/>
        </w:rPr>
        <w:t xml:space="preserve"> - коэффициент корректировки цены контракта, рассчитанный повторно в порядке, установленном подпунктом "б" пункта 14.2 Методики на основании актуальных данных о стоимости строительных ресурсов и индексов изменения сметной стоимости, действующих на дату выполнения расчета указанного коэффициента.</w:t>
      </w:r>
    </w:p>
    <w:p>
      <w:pPr>
        <w:pStyle w:val="0"/>
        <w:spacing w:before="200" w:line-rule="auto"/>
        <w:ind w:firstLine="540"/>
        <w:jc w:val="both"/>
      </w:pPr>
      <w:r>
        <w:rPr>
          <w:sz w:val="20"/>
        </w:rPr>
        <w:t xml:space="preserve">При расчете (К</w:t>
      </w:r>
      <w:r>
        <w:rPr>
          <w:sz w:val="20"/>
          <w:vertAlign w:val="subscript"/>
        </w:rPr>
        <w:t xml:space="preserve">кор.н</w:t>
      </w:r>
      <w:r>
        <w:rPr>
          <w:sz w:val="20"/>
        </w:rPr>
        <w:t xml:space="preserve">) показатель Ц</w:t>
      </w:r>
      <w:r>
        <w:rPr>
          <w:sz w:val="20"/>
          <w:vertAlign w:val="subscript"/>
        </w:rPr>
        <w:t xml:space="preserve">нов</w:t>
      </w:r>
      <w:r>
        <w:rPr>
          <w:sz w:val="20"/>
        </w:rPr>
        <w:t xml:space="preserve"> определяется в уровне цен, соответствующем периоду выполнения повторного Расчета.</w:t>
      </w:r>
    </w:p>
    <w:p>
      <w:pPr>
        <w:pStyle w:val="0"/>
        <w:spacing w:before="200" w:line-rule="auto"/>
        <w:ind w:firstLine="540"/>
        <w:jc w:val="both"/>
      </w:pPr>
      <w:r>
        <w:rPr>
          <w:sz w:val="20"/>
        </w:rPr>
        <w:t xml:space="preserve">При расчете показателя Ц</w:t>
      </w:r>
      <w:r>
        <w:rPr>
          <w:sz w:val="20"/>
          <w:vertAlign w:val="subscript"/>
        </w:rPr>
        <w:t xml:space="preserve">нов.н</w:t>
      </w:r>
      <w:r>
        <w:rPr>
          <w:sz w:val="20"/>
        </w:rPr>
        <w:t xml:space="preserve"> сметная стоимость строительных материалов и (или) оборудования, принятых в сметной документации по фактической стоимости на основании прейскурантов, коммерческих предложений, прайс-листов и ценовые показатели которых по данным подрядчика претерпели существенный рост, определяется по результатам конъюнктурного анализа, проводимого в порядке, установленном подпунктом "а" пункта 14.2 Методики.</w:t>
      </w:r>
    </w:p>
    <w:p>
      <w:pPr>
        <w:pStyle w:val="0"/>
        <w:spacing w:before="200" w:line-rule="auto"/>
        <w:ind w:firstLine="540"/>
        <w:jc w:val="both"/>
      </w:pPr>
      <w:r>
        <w:rPr>
          <w:sz w:val="20"/>
        </w:rPr>
        <w:t xml:space="preserve">Также при расчете показателя Ц</w:t>
      </w:r>
      <w:r>
        <w:rPr>
          <w:sz w:val="20"/>
          <w:vertAlign w:val="subscript"/>
        </w:rPr>
        <w:t xml:space="preserve">нов.н</w:t>
      </w:r>
      <w:r>
        <w:rPr>
          <w:sz w:val="20"/>
        </w:rPr>
        <w:t xml:space="preserve"> для определения сметной стоимости таких строительных материалов и (или) оборудования может использоваться информация о фактической цене приобретения таких строительных материалов и (или) оборудования, в случае если такое решение принято заказчиком.</w:t>
      </w:r>
    </w:p>
    <w:p>
      <w:pPr>
        <w:pStyle w:val="0"/>
        <w:spacing w:before="200" w:line-rule="auto"/>
        <w:ind w:firstLine="540"/>
        <w:jc w:val="both"/>
      </w:pPr>
      <w:r>
        <w:rPr>
          <w:sz w:val="20"/>
        </w:rPr>
        <w:t xml:space="preserve">14.5. После выполнения расчета осуществляется корректировка сметы контракта с учетом рассчитанного индекса роста цен на строительные ресурсы за расчетный период (И</w:t>
      </w:r>
      <w:r>
        <w:rPr>
          <w:sz w:val="20"/>
          <w:vertAlign w:val="subscript"/>
        </w:rPr>
        <w:t xml:space="preserve">рц</w:t>
      </w:r>
      <w:r>
        <w:rPr>
          <w:sz w:val="20"/>
        </w:rPr>
        <w:t xml:space="preserve">) и пересчет остатков работ, не принятых заказчиком на дату выполнения Расчета.</w:t>
      </w:r>
    </w:p>
    <w:p>
      <w:pPr>
        <w:pStyle w:val="0"/>
        <w:spacing w:before="200" w:line-rule="auto"/>
        <w:ind w:firstLine="540"/>
        <w:jc w:val="both"/>
      </w:pPr>
      <w:r>
        <w:rPr>
          <w:sz w:val="20"/>
        </w:rPr>
        <w:t xml:space="preserve">Определение стоимости остатков работ (С</w:t>
      </w:r>
      <w:r>
        <w:rPr>
          <w:sz w:val="20"/>
          <w:vertAlign w:val="subscript"/>
        </w:rPr>
        <w:t xml:space="preserve">ост</w:t>
      </w:r>
      <w:r>
        <w:rPr>
          <w:sz w:val="20"/>
        </w:rPr>
        <w:t xml:space="preserve">) осуществляется путем умножения показателя цены работ на единицу измерения сметы контракта по оставшимся работам на индекс роста цен на строительные ресурсы за расчетный период (И</w:t>
      </w:r>
      <w:r>
        <w:rPr>
          <w:sz w:val="20"/>
          <w:vertAlign w:val="subscript"/>
        </w:rPr>
        <w:t xml:space="preserve">рц</w:t>
      </w:r>
      <w:r>
        <w:rPr>
          <w:sz w:val="20"/>
        </w:rPr>
        <w:t xml:space="preserve">) с учетом объемов оставшихся работ по формуле:</w:t>
      </w:r>
    </w:p>
    <w:p>
      <w:pPr>
        <w:pStyle w:val="0"/>
        <w:jc w:val="both"/>
      </w:pPr>
      <w:r>
        <w:rPr>
          <w:sz w:val="20"/>
        </w:rPr>
      </w:r>
    </w:p>
    <w:p>
      <w:pPr>
        <w:pStyle w:val="0"/>
        <w:jc w:val="center"/>
      </w:pPr>
      <w:r>
        <w:rPr>
          <w:sz w:val="20"/>
        </w:rPr>
        <w:t xml:space="preserve">С</w:t>
      </w:r>
      <w:r>
        <w:rPr>
          <w:sz w:val="20"/>
          <w:vertAlign w:val="subscript"/>
        </w:rPr>
        <w:t xml:space="preserve">ост</w:t>
      </w:r>
      <w:r>
        <w:rPr>
          <w:sz w:val="20"/>
        </w:rPr>
        <w:t xml:space="preserve"> = Ц</w:t>
      </w:r>
      <w:r>
        <w:rPr>
          <w:sz w:val="20"/>
          <w:vertAlign w:val="subscript"/>
        </w:rPr>
        <w:t xml:space="preserve">ед.акт2</w:t>
      </w:r>
      <w:r>
        <w:rPr>
          <w:sz w:val="20"/>
        </w:rPr>
        <w:t xml:space="preserve"> x И</w:t>
      </w:r>
      <w:r>
        <w:rPr>
          <w:sz w:val="20"/>
          <w:vertAlign w:val="subscript"/>
        </w:rPr>
        <w:t xml:space="preserve">рц</w:t>
      </w:r>
      <w:r>
        <w:rPr>
          <w:sz w:val="20"/>
        </w:rPr>
        <w:t xml:space="preserve"> x V</w:t>
      </w:r>
      <w:r>
        <w:rPr>
          <w:sz w:val="20"/>
          <w:vertAlign w:val="subscript"/>
        </w:rPr>
        <w:t xml:space="preserve">ост</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Ц</w:t>
      </w:r>
      <w:r>
        <w:rPr>
          <w:sz w:val="20"/>
          <w:vertAlign w:val="subscript"/>
        </w:rPr>
        <w:t xml:space="preserve">ед.акт2</w:t>
      </w:r>
      <w:r>
        <w:rPr>
          <w:sz w:val="20"/>
        </w:rPr>
        <w:t xml:space="preserve"> - цена единицы i-го конструктивного решения (элемента) и (или) комплекса (вида) работ, принятая в корректируемой смете контракта, с учетом ранее рассчитанного показателя К</w:t>
      </w:r>
      <w:r>
        <w:rPr>
          <w:sz w:val="20"/>
          <w:vertAlign w:val="subscript"/>
        </w:rPr>
        <w:t xml:space="preserve">кор</w:t>
      </w:r>
      <w:r>
        <w:rPr>
          <w:sz w:val="20"/>
        </w:rPr>
        <w:t xml:space="preserve">, руб.;</w:t>
      </w:r>
    </w:p>
    <w:p>
      <w:pPr>
        <w:pStyle w:val="0"/>
        <w:spacing w:before="200" w:line-rule="auto"/>
        <w:ind w:firstLine="540"/>
        <w:jc w:val="both"/>
      </w:pPr>
      <w:r>
        <w:rPr>
          <w:sz w:val="20"/>
        </w:rPr>
        <w:t xml:space="preserve">И</w:t>
      </w:r>
      <w:r>
        <w:rPr>
          <w:sz w:val="20"/>
          <w:vertAlign w:val="subscript"/>
        </w:rPr>
        <w:t xml:space="preserve">рц</w:t>
      </w:r>
      <w:r>
        <w:rPr>
          <w:sz w:val="20"/>
        </w:rPr>
        <w:t xml:space="preserve"> - индекс роста цен на строительные ресурсы за расчетный период, рассчитанный в соответствии с пунктом 14.4 Методики;</w:t>
      </w:r>
    </w:p>
    <w:p>
      <w:pPr>
        <w:pStyle w:val="0"/>
        <w:spacing w:before="200" w:line-rule="auto"/>
        <w:ind w:firstLine="540"/>
        <w:jc w:val="both"/>
      </w:pPr>
      <w:r>
        <w:rPr>
          <w:sz w:val="20"/>
        </w:rPr>
        <w:t xml:space="preserve">V</w:t>
      </w:r>
      <w:r>
        <w:rPr>
          <w:sz w:val="20"/>
          <w:vertAlign w:val="subscript"/>
        </w:rPr>
        <w:t xml:space="preserve">ост</w:t>
      </w:r>
      <w:r>
        <w:rPr>
          <w:sz w:val="20"/>
        </w:rPr>
        <w:t xml:space="preserve"> - остаток объемов работ, подлежащих выполнению по i-му конструктивному решению (элементу) и (или) комплексу (виду) работ.</w:t>
      </w:r>
    </w:p>
    <w:p>
      <w:pPr>
        <w:pStyle w:val="0"/>
        <w:spacing w:before="200" w:line-rule="auto"/>
        <w:ind w:firstLine="540"/>
        <w:jc w:val="both"/>
      </w:pPr>
      <w:r>
        <w:rPr>
          <w:sz w:val="20"/>
        </w:rPr>
        <w:t xml:space="preserve">После утверждения заказчиком откорректированной сметы контракта заключается дополнительное соглашение об утверждении новой цены контракта.</w:t>
      </w:r>
    </w:p>
    <w:p>
      <w:pPr>
        <w:pStyle w:val="0"/>
        <w:spacing w:before="200" w:line-rule="auto"/>
        <w:ind w:firstLine="540"/>
        <w:jc w:val="both"/>
      </w:pPr>
      <w:r>
        <w:rPr>
          <w:sz w:val="20"/>
        </w:rPr>
        <w:t xml:space="preserve">Стоимость работ, выполненных и принятых заказчиком в период от даты выполнения расчета индекса роста цен на строительные ресурсы за расчетный период (И</w:t>
      </w:r>
      <w:r>
        <w:rPr>
          <w:sz w:val="20"/>
          <w:vertAlign w:val="subscript"/>
        </w:rPr>
        <w:t xml:space="preserve">рц</w:t>
      </w:r>
      <w:r>
        <w:rPr>
          <w:sz w:val="20"/>
        </w:rPr>
        <w:t xml:space="preserve">) до даты заключения дополнительного соглашения об изменении цены контракта также может быть пересчитана с учетом И</w:t>
      </w:r>
      <w:r>
        <w:rPr>
          <w:sz w:val="20"/>
          <w:vertAlign w:val="subscript"/>
        </w:rPr>
        <w:t xml:space="preserve">рц</w:t>
      </w:r>
      <w:r>
        <w:rPr>
          <w:sz w:val="20"/>
        </w:rPr>
        <w:t xml:space="preserve">, в случае если такое решение принято заказчиком.</w:t>
      </w:r>
    </w:p>
    <w:p>
      <w:pPr>
        <w:pStyle w:val="0"/>
        <w:spacing w:before="200" w:line-rule="auto"/>
        <w:ind w:firstLine="540"/>
        <w:jc w:val="both"/>
      </w:pPr>
      <w:r>
        <w:rPr>
          <w:sz w:val="20"/>
        </w:rPr>
        <w:t xml:space="preserve">14.6. В случае, если одновременно с выполнением Расчета осуществляется внесение изменений в проектную документацию в связи с включением в нее ранее не предусмотренных такой проектной документацией видов работ и (или) затрат, с корректировкой видов и объемов работ, а также в связи с заменой материалов и (или) оборудования на аналоги без изменения их объема, пересчет остатков работ с применением индекса роста цен на строительные ресурсы (И</w:t>
      </w:r>
      <w:r>
        <w:rPr>
          <w:sz w:val="20"/>
          <w:vertAlign w:val="subscript"/>
        </w:rPr>
        <w:t xml:space="preserve">рц</w:t>
      </w:r>
      <w:r>
        <w:rPr>
          <w:sz w:val="20"/>
        </w:rPr>
        <w:t xml:space="preserve">) и коэффициента корректировки цены контракта (К</w:t>
      </w:r>
      <w:r>
        <w:rPr>
          <w:sz w:val="20"/>
          <w:vertAlign w:val="subscript"/>
        </w:rPr>
        <w:t xml:space="preserve">кор</w:t>
      </w:r>
      <w:r>
        <w:rPr>
          <w:sz w:val="20"/>
        </w:rPr>
        <w:t xml:space="preserve">) осуществляется только в отношении работ и затрат, не претерпевших изменений в результате внесения таких корректировок в проектную документацию.".</w:t>
      </w:r>
    </w:p>
    <w:p>
      <w:pPr>
        <w:pStyle w:val="0"/>
        <w:spacing w:before="200" w:line-rule="auto"/>
        <w:ind w:firstLine="540"/>
        <w:jc w:val="both"/>
      </w:pPr>
      <w:r>
        <w:rPr>
          <w:sz w:val="20"/>
        </w:rPr>
        <w:t xml:space="preserve">3.17. </w:t>
      </w:r>
      <w:hyperlink w:history="0" r:id="rId139" w:tooltip="Приказ Минстроя России от 23.12.2019 N 841/пр (ред. от 25.02.2022) &quot;Об утверждении Порядка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в сфере градостроительной деятельности (за исключением территориального планирования) и Методики составления сметы контракта, предметом которого являются строительство, реконструкция объектов капитального строит ------------ Недействующая редакция {КонсультантПлюс}">
        <w:r>
          <w:rPr>
            <w:sz w:val="20"/>
            <w:color w:val="0000ff"/>
          </w:rPr>
          <w:t xml:space="preserve">Приложения N 1</w:t>
        </w:r>
      </w:hyperlink>
      <w:r>
        <w:rPr>
          <w:sz w:val="20"/>
        </w:rPr>
        <w:t xml:space="preserve"> и </w:t>
      </w:r>
      <w:hyperlink w:history="0" r:id="rId140" w:tooltip="Приказ Минстроя России от 23.12.2019 N 841/пр (ред. от 25.02.2022) &quot;Об утверждении Порядка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в сфере градостроительной деятельности (за исключением территориального планирования) и Методики составления сметы контракта, предметом которого являются строительство, реконструкция объектов капитального строит ------------ Недействующая редакция {КонсультантПлюс}">
        <w:r>
          <w:rPr>
            <w:sz w:val="20"/>
            <w:color w:val="0000ff"/>
          </w:rPr>
          <w:t xml:space="preserve">N 2</w:t>
        </w:r>
      </w:hyperlink>
      <w:r>
        <w:rPr>
          <w:sz w:val="20"/>
        </w:rPr>
        <w:t xml:space="preserve"> к Методике изложить в редакции согласно </w:t>
      </w:r>
      <w:hyperlink w:history="0" w:anchor="P527" w:tooltip="Приложение N 2">
        <w:r>
          <w:rPr>
            <w:sz w:val="20"/>
            <w:color w:val="0000ff"/>
          </w:rPr>
          <w:t xml:space="preserve">приложению N 2</w:t>
        </w:r>
      </w:hyperlink>
      <w:r>
        <w:rPr>
          <w:sz w:val="20"/>
        </w:rPr>
        <w:t xml:space="preserve"> к настоящим изменениям.</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изменениям, которые вносятся</w:t>
      </w:r>
    </w:p>
    <w:p>
      <w:pPr>
        <w:pStyle w:val="0"/>
        <w:jc w:val="right"/>
      </w:pPr>
      <w:r>
        <w:rPr>
          <w:sz w:val="20"/>
        </w:rPr>
        <w:t xml:space="preserve">в приказ Министерства строительства</w:t>
      </w:r>
    </w:p>
    <w:p>
      <w:pPr>
        <w:pStyle w:val="0"/>
        <w:jc w:val="right"/>
      </w:pPr>
      <w:r>
        <w:rPr>
          <w:sz w:val="20"/>
        </w:rPr>
        <w:t xml:space="preserve">и жилищно-коммунального хозяйства</w:t>
      </w:r>
    </w:p>
    <w:p>
      <w:pPr>
        <w:pStyle w:val="0"/>
        <w:jc w:val="right"/>
      </w:pPr>
      <w:r>
        <w:rPr>
          <w:sz w:val="20"/>
        </w:rPr>
        <w:t xml:space="preserve">Российской Федерации</w:t>
      </w:r>
    </w:p>
    <w:p>
      <w:pPr>
        <w:pStyle w:val="0"/>
        <w:jc w:val="right"/>
      </w:pPr>
      <w:r>
        <w:rPr>
          <w:sz w:val="20"/>
        </w:rPr>
        <w:t xml:space="preserve">от 23 декабря 2019 г. N 841/пр</w:t>
      </w:r>
    </w:p>
    <w:p>
      <w:pPr>
        <w:pStyle w:val="0"/>
        <w:jc w:val="both"/>
      </w:pPr>
      <w:r>
        <w:rPr>
          <w:sz w:val="20"/>
        </w:rPr>
      </w:r>
    </w:p>
    <w:p>
      <w:pPr>
        <w:pStyle w:val="0"/>
        <w:jc w:val="right"/>
      </w:pPr>
      <w:r>
        <w:rPr>
          <w:sz w:val="20"/>
        </w:rPr>
        <w:t xml:space="preserve">"Приложение N 6</w:t>
      </w:r>
    </w:p>
    <w:p>
      <w:pPr>
        <w:pStyle w:val="0"/>
        <w:jc w:val="right"/>
      </w:pPr>
      <w:r>
        <w:rPr>
          <w:sz w:val="20"/>
        </w:rPr>
        <w:t xml:space="preserve">к Порядку определения начальной</w:t>
      </w:r>
    </w:p>
    <w:p>
      <w:pPr>
        <w:pStyle w:val="0"/>
        <w:jc w:val="right"/>
      </w:pPr>
      <w:r>
        <w:rPr>
          <w:sz w:val="20"/>
        </w:rPr>
        <w:t xml:space="preserve">(максимальной) цены контракта,</w:t>
      </w:r>
    </w:p>
    <w:p>
      <w:pPr>
        <w:pStyle w:val="0"/>
        <w:jc w:val="right"/>
      </w:pPr>
      <w:r>
        <w:rPr>
          <w:sz w:val="20"/>
        </w:rPr>
        <w:t xml:space="preserve">цены контракта, заключаемого</w:t>
      </w:r>
    </w:p>
    <w:p>
      <w:pPr>
        <w:pStyle w:val="0"/>
        <w:jc w:val="right"/>
      </w:pPr>
      <w:r>
        <w:rPr>
          <w:sz w:val="20"/>
        </w:rPr>
        <w:t xml:space="preserve">с единственным поставщиком</w:t>
      </w:r>
    </w:p>
    <w:p>
      <w:pPr>
        <w:pStyle w:val="0"/>
        <w:jc w:val="right"/>
      </w:pPr>
      <w:r>
        <w:rPr>
          <w:sz w:val="20"/>
        </w:rPr>
        <w:t xml:space="preserve">(подрядчиком, исполнителем),</w:t>
      </w:r>
    </w:p>
    <w:p>
      <w:pPr>
        <w:pStyle w:val="0"/>
        <w:jc w:val="right"/>
      </w:pPr>
      <w:r>
        <w:rPr>
          <w:sz w:val="20"/>
        </w:rPr>
        <w:t xml:space="preserve">начальной цены единицы товара,</w:t>
      </w:r>
    </w:p>
    <w:p>
      <w:pPr>
        <w:pStyle w:val="0"/>
        <w:jc w:val="right"/>
      </w:pPr>
      <w:r>
        <w:rPr>
          <w:sz w:val="20"/>
        </w:rPr>
        <w:t xml:space="preserve">работы, услуги при осуществлении</w:t>
      </w:r>
    </w:p>
    <w:p>
      <w:pPr>
        <w:pStyle w:val="0"/>
        <w:jc w:val="right"/>
      </w:pPr>
      <w:r>
        <w:rPr>
          <w:sz w:val="20"/>
        </w:rPr>
        <w:t xml:space="preserve">закупок в сфере градостроительной</w:t>
      </w:r>
    </w:p>
    <w:p>
      <w:pPr>
        <w:pStyle w:val="0"/>
        <w:jc w:val="right"/>
      </w:pPr>
      <w:r>
        <w:rPr>
          <w:sz w:val="20"/>
        </w:rPr>
        <w:t xml:space="preserve">деятельности (за исключением</w:t>
      </w:r>
    </w:p>
    <w:p>
      <w:pPr>
        <w:pStyle w:val="0"/>
        <w:jc w:val="right"/>
      </w:pPr>
      <w:r>
        <w:rPr>
          <w:sz w:val="20"/>
        </w:rPr>
        <w:t xml:space="preserve">территориального планирования),</w:t>
      </w:r>
    </w:p>
    <w:p>
      <w:pPr>
        <w:pStyle w:val="0"/>
        <w:jc w:val="right"/>
      </w:pPr>
      <w:r>
        <w:rPr>
          <w:sz w:val="20"/>
        </w:rPr>
        <w:t xml:space="preserve">утвержденному приказом</w:t>
      </w:r>
    </w:p>
    <w:p>
      <w:pPr>
        <w:pStyle w:val="0"/>
        <w:jc w:val="right"/>
      </w:pPr>
      <w:r>
        <w:rPr>
          <w:sz w:val="20"/>
        </w:rPr>
        <w:t xml:space="preserve">Министерства строительства</w:t>
      </w:r>
    </w:p>
    <w:p>
      <w:pPr>
        <w:pStyle w:val="0"/>
        <w:jc w:val="right"/>
      </w:pPr>
      <w:r>
        <w:rPr>
          <w:sz w:val="20"/>
        </w:rPr>
        <w:t xml:space="preserve">и жилищно-коммунального хозяйства</w:t>
      </w:r>
    </w:p>
    <w:p>
      <w:pPr>
        <w:pStyle w:val="0"/>
        <w:jc w:val="right"/>
      </w:pPr>
      <w:r>
        <w:rPr>
          <w:sz w:val="20"/>
        </w:rPr>
        <w:t xml:space="preserve">Российской Федерации</w:t>
      </w:r>
    </w:p>
    <w:p>
      <w:pPr>
        <w:pStyle w:val="0"/>
        <w:jc w:val="right"/>
      </w:pPr>
      <w:r>
        <w:rPr>
          <w:sz w:val="20"/>
        </w:rPr>
        <w:t xml:space="preserve">от 23 декабря 2019 г. N 841/пр</w:t>
      </w:r>
    </w:p>
    <w:p>
      <w:pPr>
        <w:pStyle w:val="0"/>
        <w:jc w:val="both"/>
      </w:pPr>
      <w:r>
        <w:rPr>
          <w:sz w:val="20"/>
        </w:rPr>
      </w:r>
    </w:p>
    <w:p>
      <w:pPr>
        <w:pStyle w:val="0"/>
        <w:jc w:val="right"/>
      </w:pPr>
      <w:r>
        <w:rPr>
          <w:sz w:val="20"/>
        </w:rPr>
        <w:t xml:space="preserve">(рекомендуемый образец)</w:t>
      </w:r>
    </w:p>
    <w:p>
      <w:pPr>
        <w:pStyle w:val="0"/>
        <w:jc w:val="both"/>
      </w:pPr>
      <w:r>
        <w:rPr>
          <w:sz w:val="20"/>
        </w:rPr>
      </w:r>
    </w:p>
    <w:bookmarkStart w:id="450" w:name="P450"/>
    <w:bookmarkEnd w:id="450"/>
    <w:p>
      <w:pPr>
        <w:pStyle w:val="0"/>
        <w:jc w:val="center"/>
      </w:pPr>
      <w:r>
        <w:rPr>
          <w:sz w:val="20"/>
        </w:rPr>
        <w:t xml:space="preserve">Проект сметы контракта</w:t>
      </w:r>
    </w:p>
    <w:p>
      <w:pPr>
        <w:pStyle w:val="0"/>
        <w:jc w:val="center"/>
      </w:pPr>
      <w:r>
        <w:rPr>
          <w:sz w:val="20"/>
        </w:rPr>
        <w:t xml:space="preserve">_____________________________________________</w:t>
      </w:r>
    </w:p>
    <w:p>
      <w:pPr>
        <w:pStyle w:val="0"/>
        <w:jc w:val="center"/>
      </w:pPr>
      <w:r>
        <w:rPr>
          <w:sz w:val="20"/>
        </w:rPr>
        <w:t xml:space="preserve">(наименование объекта)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77"/>
        <w:gridCol w:w="3058"/>
        <w:gridCol w:w="914"/>
        <w:gridCol w:w="975"/>
        <w:gridCol w:w="1260"/>
        <w:gridCol w:w="934"/>
        <w:gridCol w:w="1211"/>
      </w:tblGrid>
      <w:tr>
        <w:tc>
          <w:tcPr>
            <w:tcW w:w="677" w:type="dxa"/>
          </w:tcPr>
          <w:p>
            <w:pPr>
              <w:pStyle w:val="0"/>
              <w:jc w:val="center"/>
            </w:pPr>
            <w:r>
              <w:rPr>
                <w:sz w:val="20"/>
              </w:rPr>
              <w:t xml:space="preserve">N п/п</w:t>
            </w:r>
          </w:p>
        </w:tc>
        <w:tc>
          <w:tcPr>
            <w:tcW w:w="3058" w:type="dxa"/>
          </w:tcPr>
          <w:p>
            <w:pPr>
              <w:pStyle w:val="0"/>
              <w:jc w:val="center"/>
            </w:pPr>
            <w:r>
              <w:rPr>
                <w:sz w:val="20"/>
              </w:rPr>
              <w:t xml:space="preserve">Наименование конструктивных решений (элементов), комплексов (видов) работ, оборудования &lt;1&gt;</w:t>
            </w:r>
          </w:p>
        </w:tc>
        <w:tc>
          <w:tcPr>
            <w:tcW w:w="914" w:type="dxa"/>
          </w:tcPr>
          <w:p>
            <w:pPr>
              <w:pStyle w:val="0"/>
              <w:jc w:val="center"/>
            </w:pPr>
            <w:r>
              <w:rPr>
                <w:sz w:val="20"/>
              </w:rPr>
              <w:t xml:space="preserve">Единица измерения</w:t>
            </w:r>
          </w:p>
        </w:tc>
        <w:tc>
          <w:tcPr>
            <w:tcW w:w="975" w:type="dxa"/>
          </w:tcPr>
          <w:p>
            <w:pPr>
              <w:pStyle w:val="0"/>
              <w:jc w:val="center"/>
            </w:pPr>
            <w:r>
              <w:rPr>
                <w:sz w:val="20"/>
              </w:rPr>
              <w:t xml:space="preserve">Количество &lt;1&gt; (объем работ)</w:t>
            </w:r>
          </w:p>
        </w:tc>
        <w:tc>
          <w:tcPr>
            <w:tcW w:w="1260" w:type="dxa"/>
          </w:tcPr>
          <w:p>
            <w:pPr>
              <w:pStyle w:val="0"/>
              <w:jc w:val="center"/>
            </w:pPr>
            <w:r>
              <w:rPr>
                <w:sz w:val="20"/>
              </w:rPr>
              <w:t xml:space="preserve">Цена на единицу измерения, без НДС руб.</w:t>
            </w:r>
          </w:p>
        </w:tc>
        <w:tc>
          <w:tcPr>
            <w:tcW w:w="934" w:type="dxa"/>
          </w:tcPr>
          <w:p>
            <w:pPr>
              <w:pStyle w:val="0"/>
              <w:jc w:val="center"/>
            </w:pPr>
            <w:r>
              <w:rPr>
                <w:sz w:val="20"/>
              </w:rPr>
              <w:t xml:space="preserve">Стоимость всего, руб &lt;3&gt;</w:t>
            </w:r>
          </w:p>
        </w:tc>
        <w:tc>
          <w:tcPr>
            <w:tcW w:w="1211" w:type="dxa"/>
          </w:tcPr>
          <w:p>
            <w:pPr>
              <w:pStyle w:val="0"/>
              <w:jc w:val="center"/>
            </w:pPr>
            <w:r>
              <w:rPr>
                <w:sz w:val="20"/>
              </w:rPr>
              <w:t xml:space="preserve">Страна происхождения оборудования &lt;4&gt;</w:t>
            </w:r>
          </w:p>
        </w:tc>
      </w:tr>
      <w:tr>
        <w:tc>
          <w:tcPr>
            <w:tcW w:w="677" w:type="dxa"/>
          </w:tcPr>
          <w:p>
            <w:pPr>
              <w:pStyle w:val="0"/>
              <w:jc w:val="center"/>
            </w:pPr>
            <w:r>
              <w:rPr>
                <w:sz w:val="20"/>
              </w:rPr>
              <w:t xml:space="preserve">1</w:t>
            </w:r>
          </w:p>
        </w:tc>
        <w:tc>
          <w:tcPr>
            <w:tcW w:w="3058" w:type="dxa"/>
          </w:tcPr>
          <w:p>
            <w:pPr>
              <w:pStyle w:val="0"/>
              <w:jc w:val="center"/>
            </w:pPr>
            <w:r>
              <w:rPr>
                <w:sz w:val="20"/>
              </w:rPr>
              <w:t xml:space="preserve">2</w:t>
            </w:r>
          </w:p>
        </w:tc>
        <w:tc>
          <w:tcPr>
            <w:tcW w:w="914" w:type="dxa"/>
          </w:tcPr>
          <w:p>
            <w:pPr>
              <w:pStyle w:val="0"/>
              <w:jc w:val="center"/>
            </w:pPr>
            <w:r>
              <w:rPr>
                <w:sz w:val="20"/>
              </w:rPr>
              <w:t xml:space="preserve">3</w:t>
            </w:r>
          </w:p>
        </w:tc>
        <w:tc>
          <w:tcPr>
            <w:tcW w:w="975" w:type="dxa"/>
          </w:tcPr>
          <w:p>
            <w:pPr>
              <w:pStyle w:val="0"/>
              <w:jc w:val="center"/>
            </w:pPr>
            <w:r>
              <w:rPr>
                <w:sz w:val="20"/>
              </w:rPr>
              <w:t xml:space="preserve">4</w:t>
            </w:r>
          </w:p>
        </w:tc>
        <w:tc>
          <w:tcPr>
            <w:tcW w:w="1260" w:type="dxa"/>
          </w:tcPr>
          <w:p>
            <w:pPr>
              <w:pStyle w:val="0"/>
              <w:jc w:val="center"/>
            </w:pPr>
            <w:r>
              <w:rPr>
                <w:sz w:val="20"/>
              </w:rPr>
              <w:t xml:space="preserve">5</w:t>
            </w:r>
          </w:p>
        </w:tc>
        <w:tc>
          <w:tcPr>
            <w:tcW w:w="934" w:type="dxa"/>
          </w:tcPr>
          <w:p>
            <w:pPr>
              <w:pStyle w:val="0"/>
              <w:jc w:val="center"/>
            </w:pPr>
            <w:r>
              <w:rPr>
                <w:sz w:val="20"/>
              </w:rPr>
              <w:t xml:space="preserve">6</w:t>
            </w:r>
          </w:p>
        </w:tc>
        <w:tc>
          <w:tcPr>
            <w:tcW w:w="1211" w:type="dxa"/>
          </w:tcPr>
          <w:p>
            <w:pPr>
              <w:pStyle w:val="0"/>
              <w:jc w:val="center"/>
            </w:pPr>
            <w:r>
              <w:rPr>
                <w:sz w:val="20"/>
              </w:rPr>
              <w:t xml:space="preserve">7</w:t>
            </w:r>
          </w:p>
        </w:tc>
      </w:tr>
      <w:tr>
        <w:tc>
          <w:tcPr>
            <w:tcW w:w="677" w:type="dxa"/>
          </w:tcPr>
          <w:p>
            <w:pPr>
              <w:pStyle w:val="0"/>
            </w:pPr>
            <w:r>
              <w:rPr>
                <w:sz w:val="20"/>
              </w:rPr>
            </w:r>
          </w:p>
        </w:tc>
        <w:tc>
          <w:tcPr>
            <w:tcW w:w="3058" w:type="dxa"/>
          </w:tcPr>
          <w:p>
            <w:pPr>
              <w:pStyle w:val="0"/>
            </w:pPr>
            <w:r>
              <w:rPr>
                <w:sz w:val="20"/>
              </w:rPr>
            </w:r>
          </w:p>
        </w:tc>
        <w:tc>
          <w:tcPr>
            <w:tcW w:w="914" w:type="dxa"/>
          </w:tcPr>
          <w:p>
            <w:pPr>
              <w:pStyle w:val="0"/>
            </w:pPr>
            <w:r>
              <w:rPr>
                <w:sz w:val="20"/>
              </w:rPr>
            </w:r>
          </w:p>
        </w:tc>
        <w:tc>
          <w:tcPr>
            <w:tcW w:w="975" w:type="dxa"/>
          </w:tcPr>
          <w:p>
            <w:pPr>
              <w:pStyle w:val="0"/>
            </w:pPr>
            <w:r>
              <w:rPr>
                <w:sz w:val="20"/>
              </w:rPr>
            </w:r>
          </w:p>
        </w:tc>
        <w:tc>
          <w:tcPr>
            <w:tcW w:w="1260" w:type="dxa"/>
          </w:tcPr>
          <w:p>
            <w:pPr>
              <w:pStyle w:val="0"/>
            </w:pPr>
            <w:r>
              <w:rPr>
                <w:sz w:val="20"/>
              </w:rPr>
            </w:r>
          </w:p>
        </w:tc>
        <w:tc>
          <w:tcPr>
            <w:tcW w:w="934" w:type="dxa"/>
          </w:tcPr>
          <w:p>
            <w:pPr>
              <w:pStyle w:val="0"/>
            </w:pPr>
            <w:r>
              <w:rPr>
                <w:sz w:val="20"/>
              </w:rPr>
            </w:r>
          </w:p>
        </w:tc>
        <w:tc>
          <w:tcPr>
            <w:tcW w:w="1211" w:type="dxa"/>
          </w:tcPr>
          <w:p>
            <w:pPr>
              <w:pStyle w:val="0"/>
            </w:pPr>
            <w:r>
              <w:rPr>
                <w:sz w:val="20"/>
              </w:rPr>
            </w:r>
          </w:p>
        </w:tc>
      </w:tr>
      <w:tr>
        <w:tc>
          <w:tcPr>
            <w:tcW w:w="677" w:type="dxa"/>
          </w:tcPr>
          <w:p>
            <w:pPr>
              <w:pStyle w:val="0"/>
            </w:pPr>
            <w:r>
              <w:rPr>
                <w:sz w:val="20"/>
              </w:rPr>
            </w:r>
          </w:p>
        </w:tc>
        <w:tc>
          <w:tcPr>
            <w:tcW w:w="3058" w:type="dxa"/>
          </w:tcPr>
          <w:p>
            <w:pPr>
              <w:pStyle w:val="0"/>
            </w:pPr>
            <w:r>
              <w:rPr>
                <w:sz w:val="20"/>
              </w:rPr>
            </w:r>
          </w:p>
        </w:tc>
        <w:tc>
          <w:tcPr>
            <w:tcW w:w="914" w:type="dxa"/>
          </w:tcPr>
          <w:p>
            <w:pPr>
              <w:pStyle w:val="0"/>
            </w:pPr>
            <w:r>
              <w:rPr>
                <w:sz w:val="20"/>
              </w:rPr>
            </w:r>
          </w:p>
        </w:tc>
        <w:tc>
          <w:tcPr>
            <w:tcW w:w="975" w:type="dxa"/>
          </w:tcPr>
          <w:p>
            <w:pPr>
              <w:pStyle w:val="0"/>
            </w:pPr>
            <w:r>
              <w:rPr>
                <w:sz w:val="20"/>
              </w:rPr>
            </w:r>
          </w:p>
        </w:tc>
        <w:tc>
          <w:tcPr>
            <w:tcW w:w="1260" w:type="dxa"/>
          </w:tcPr>
          <w:p>
            <w:pPr>
              <w:pStyle w:val="0"/>
            </w:pPr>
            <w:r>
              <w:rPr>
                <w:sz w:val="20"/>
              </w:rPr>
            </w:r>
          </w:p>
        </w:tc>
        <w:tc>
          <w:tcPr>
            <w:tcW w:w="934" w:type="dxa"/>
          </w:tcPr>
          <w:p>
            <w:pPr>
              <w:pStyle w:val="0"/>
            </w:pPr>
            <w:r>
              <w:rPr>
                <w:sz w:val="20"/>
              </w:rPr>
            </w:r>
          </w:p>
        </w:tc>
        <w:tc>
          <w:tcPr>
            <w:tcW w:w="1211" w:type="dxa"/>
          </w:tcPr>
          <w:p>
            <w:pPr>
              <w:pStyle w:val="0"/>
            </w:pPr>
            <w:r>
              <w:rPr>
                <w:sz w:val="20"/>
              </w:rPr>
            </w:r>
          </w:p>
        </w:tc>
      </w:tr>
      <w:tr>
        <w:tc>
          <w:tcPr>
            <w:tcW w:w="677" w:type="dxa"/>
          </w:tcPr>
          <w:p>
            <w:pPr>
              <w:pStyle w:val="0"/>
            </w:pPr>
            <w:r>
              <w:rPr>
                <w:sz w:val="20"/>
              </w:rPr>
            </w:r>
          </w:p>
        </w:tc>
        <w:tc>
          <w:tcPr>
            <w:tcW w:w="3058" w:type="dxa"/>
          </w:tcPr>
          <w:p>
            <w:pPr>
              <w:pStyle w:val="0"/>
            </w:pPr>
            <w:r>
              <w:rPr>
                <w:sz w:val="20"/>
              </w:rPr>
              <w:t xml:space="preserve">Итого:</w:t>
            </w:r>
          </w:p>
        </w:tc>
        <w:tc>
          <w:tcPr>
            <w:tcW w:w="914" w:type="dxa"/>
          </w:tcPr>
          <w:p>
            <w:pPr>
              <w:pStyle w:val="0"/>
            </w:pPr>
            <w:r>
              <w:rPr>
                <w:sz w:val="20"/>
              </w:rPr>
            </w:r>
          </w:p>
        </w:tc>
        <w:tc>
          <w:tcPr>
            <w:tcW w:w="975" w:type="dxa"/>
          </w:tcPr>
          <w:p>
            <w:pPr>
              <w:pStyle w:val="0"/>
            </w:pPr>
            <w:r>
              <w:rPr>
                <w:sz w:val="20"/>
              </w:rPr>
            </w:r>
          </w:p>
        </w:tc>
        <w:tc>
          <w:tcPr>
            <w:tcW w:w="1260" w:type="dxa"/>
          </w:tcPr>
          <w:p>
            <w:pPr>
              <w:pStyle w:val="0"/>
            </w:pPr>
            <w:r>
              <w:rPr>
                <w:sz w:val="20"/>
              </w:rPr>
            </w:r>
          </w:p>
        </w:tc>
        <w:tc>
          <w:tcPr>
            <w:tcW w:w="934" w:type="dxa"/>
          </w:tcPr>
          <w:p>
            <w:pPr>
              <w:pStyle w:val="0"/>
            </w:pPr>
            <w:r>
              <w:rPr>
                <w:sz w:val="20"/>
              </w:rPr>
            </w:r>
          </w:p>
        </w:tc>
        <w:tc>
          <w:tcPr>
            <w:tcW w:w="1211" w:type="dxa"/>
          </w:tcPr>
          <w:p>
            <w:pPr>
              <w:pStyle w:val="0"/>
            </w:pPr>
            <w:r>
              <w:rPr>
                <w:sz w:val="20"/>
              </w:rPr>
            </w:r>
          </w:p>
        </w:tc>
      </w:tr>
      <w:tr>
        <w:tc>
          <w:tcPr>
            <w:tcW w:w="677" w:type="dxa"/>
          </w:tcPr>
          <w:p>
            <w:pPr>
              <w:pStyle w:val="0"/>
            </w:pPr>
            <w:r>
              <w:rPr>
                <w:sz w:val="20"/>
              </w:rPr>
            </w:r>
          </w:p>
        </w:tc>
        <w:tc>
          <w:tcPr>
            <w:tcW w:w="3058" w:type="dxa"/>
          </w:tcPr>
          <w:p>
            <w:pPr>
              <w:pStyle w:val="0"/>
            </w:pPr>
            <w:r>
              <w:rPr>
                <w:sz w:val="20"/>
              </w:rPr>
              <w:t xml:space="preserve">Сумма НДС (ставка &lt;N&gt;%) по позициям: &lt;2&gt;</w:t>
            </w:r>
          </w:p>
        </w:tc>
        <w:tc>
          <w:tcPr>
            <w:tcW w:w="914" w:type="dxa"/>
          </w:tcPr>
          <w:p>
            <w:pPr>
              <w:pStyle w:val="0"/>
            </w:pPr>
            <w:r>
              <w:rPr>
                <w:sz w:val="20"/>
              </w:rPr>
            </w:r>
          </w:p>
        </w:tc>
        <w:tc>
          <w:tcPr>
            <w:tcW w:w="975" w:type="dxa"/>
          </w:tcPr>
          <w:p>
            <w:pPr>
              <w:pStyle w:val="0"/>
            </w:pPr>
            <w:r>
              <w:rPr>
                <w:sz w:val="20"/>
              </w:rPr>
            </w:r>
          </w:p>
        </w:tc>
        <w:tc>
          <w:tcPr>
            <w:tcW w:w="1260" w:type="dxa"/>
          </w:tcPr>
          <w:p>
            <w:pPr>
              <w:pStyle w:val="0"/>
            </w:pPr>
            <w:r>
              <w:rPr>
                <w:sz w:val="20"/>
              </w:rPr>
            </w:r>
          </w:p>
        </w:tc>
        <w:tc>
          <w:tcPr>
            <w:tcW w:w="934" w:type="dxa"/>
          </w:tcPr>
          <w:p>
            <w:pPr>
              <w:pStyle w:val="0"/>
            </w:pPr>
            <w:r>
              <w:rPr>
                <w:sz w:val="20"/>
              </w:rPr>
            </w:r>
          </w:p>
        </w:tc>
        <w:tc>
          <w:tcPr>
            <w:tcW w:w="1211" w:type="dxa"/>
          </w:tcPr>
          <w:p>
            <w:pPr>
              <w:pStyle w:val="0"/>
            </w:pPr>
            <w:r>
              <w:rPr>
                <w:sz w:val="20"/>
              </w:rPr>
            </w:r>
          </w:p>
        </w:tc>
      </w:tr>
      <w:tr>
        <w:tc>
          <w:tcPr>
            <w:tcW w:w="677" w:type="dxa"/>
          </w:tcPr>
          <w:p>
            <w:pPr>
              <w:pStyle w:val="0"/>
            </w:pPr>
            <w:r>
              <w:rPr>
                <w:sz w:val="20"/>
              </w:rPr>
            </w:r>
          </w:p>
        </w:tc>
        <w:tc>
          <w:tcPr>
            <w:tcW w:w="3058" w:type="dxa"/>
          </w:tcPr>
          <w:p>
            <w:pPr>
              <w:pStyle w:val="0"/>
            </w:pPr>
            <w:r>
              <w:rPr>
                <w:sz w:val="20"/>
              </w:rPr>
              <w:t xml:space="preserve">Всего с НДС:</w:t>
            </w:r>
          </w:p>
        </w:tc>
        <w:tc>
          <w:tcPr>
            <w:tcW w:w="914" w:type="dxa"/>
          </w:tcPr>
          <w:p>
            <w:pPr>
              <w:pStyle w:val="0"/>
            </w:pPr>
            <w:r>
              <w:rPr>
                <w:sz w:val="20"/>
              </w:rPr>
            </w:r>
          </w:p>
        </w:tc>
        <w:tc>
          <w:tcPr>
            <w:tcW w:w="975" w:type="dxa"/>
          </w:tcPr>
          <w:p>
            <w:pPr>
              <w:pStyle w:val="0"/>
            </w:pPr>
            <w:r>
              <w:rPr>
                <w:sz w:val="20"/>
              </w:rPr>
            </w:r>
          </w:p>
        </w:tc>
        <w:tc>
          <w:tcPr>
            <w:tcW w:w="1260" w:type="dxa"/>
          </w:tcPr>
          <w:p>
            <w:pPr>
              <w:pStyle w:val="0"/>
            </w:pPr>
            <w:r>
              <w:rPr>
                <w:sz w:val="20"/>
              </w:rPr>
            </w:r>
          </w:p>
        </w:tc>
        <w:tc>
          <w:tcPr>
            <w:tcW w:w="934" w:type="dxa"/>
          </w:tcPr>
          <w:p>
            <w:pPr>
              <w:pStyle w:val="0"/>
            </w:pPr>
            <w:r>
              <w:rPr>
                <w:sz w:val="20"/>
              </w:rPr>
            </w:r>
          </w:p>
        </w:tc>
        <w:tc>
          <w:tcPr>
            <w:tcW w:w="1211" w:type="dxa"/>
          </w:tcPr>
          <w:p>
            <w:pPr>
              <w:pStyle w:val="0"/>
            </w:pPr>
            <w:r>
              <w:rPr>
                <w:sz w:val="20"/>
              </w:rPr>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1440"/>
        <w:gridCol w:w="340"/>
        <w:gridCol w:w="7247"/>
      </w:tblGrid>
      <w:tr>
        <w:tc>
          <w:tcPr>
            <w:tcW w:w="1440" w:type="dxa"/>
            <w:tcBorders>
              <w:top w:val="nil"/>
              <w:left w:val="nil"/>
              <w:bottom w:val="nil"/>
              <w:right w:val="nil"/>
            </w:tcBorders>
          </w:tcPr>
          <w:p>
            <w:pPr>
              <w:pStyle w:val="0"/>
            </w:pPr>
            <w:r>
              <w:rPr>
                <w:sz w:val="20"/>
              </w:rPr>
              <w:t xml:space="preserve">Заказчик</w:t>
            </w:r>
          </w:p>
        </w:tc>
        <w:tc>
          <w:tcPr>
            <w:tcW w:w="340" w:type="dxa"/>
            <w:tcBorders>
              <w:top w:val="nil"/>
              <w:left w:val="nil"/>
              <w:bottom w:val="nil"/>
              <w:right w:val="nil"/>
            </w:tcBorders>
          </w:tcPr>
          <w:p>
            <w:pPr>
              <w:pStyle w:val="0"/>
            </w:pPr>
            <w:r>
              <w:rPr>
                <w:sz w:val="20"/>
              </w:rPr>
            </w:r>
          </w:p>
        </w:tc>
        <w:tc>
          <w:tcPr>
            <w:tcW w:w="7247" w:type="dxa"/>
            <w:tcBorders>
              <w:top w:val="nil"/>
              <w:left w:val="nil"/>
              <w:bottom w:val="single" w:sz="4"/>
              <w:right w:val="nil"/>
            </w:tcBorders>
          </w:tcPr>
          <w:p>
            <w:pPr>
              <w:pStyle w:val="0"/>
            </w:pPr>
            <w:r>
              <w:rPr>
                <w:sz w:val="20"/>
              </w:rPr>
            </w:r>
          </w:p>
        </w:tc>
      </w:tr>
      <w:tr>
        <w:tc>
          <w:tcPr>
            <w:tcW w:w="1440"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7247" w:type="dxa"/>
            <w:tcBorders>
              <w:top w:val="single" w:sz="4"/>
              <w:left w:val="nil"/>
              <w:bottom w:val="nil"/>
              <w:right w:val="nil"/>
            </w:tcBorders>
          </w:tcPr>
          <w:p>
            <w:pPr>
              <w:pStyle w:val="0"/>
              <w:jc w:val="center"/>
            </w:pPr>
            <w:r>
              <w:rPr>
                <w:sz w:val="20"/>
              </w:rPr>
              <w:t xml:space="preserve">(должность, подпись, инициалы, фамилия)</w:t>
            </w:r>
          </w:p>
        </w:tc>
      </w:tr>
      <w:tr>
        <w:tc>
          <w:tcPr>
            <w:tcW w:w="1440" w:type="dxa"/>
            <w:tcBorders>
              <w:top w:val="nil"/>
              <w:left w:val="nil"/>
              <w:bottom w:val="nil"/>
              <w:right w:val="nil"/>
            </w:tcBorders>
          </w:tcPr>
          <w:p>
            <w:pPr>
              <w:pStyle w:val="0"/>
            </w:pPr>
            <w:r>
              <w:rPr>
                <w:sz w:val="20"/>
              </w:rPr>
              <w:t xml:space="preserve">Подрядчик</w:t>
            </w:r>
          </w:p>
        </w:tc>
        <w:tc>
          <w:tcPr>
            <w:tcW w:w="340" w:type="dxa"/>
            <w:tcBorders>
              <w:top w:val="nil"/>
              <w:left w:val="nil"/>
              <w:bottom w:val="nil"/>
              <w:right w:val="nil"/>
            </w:tcBorders>
          </w:tcPr>
          <w:p>
            <w:pPr>
              <w:pStyle w:val="0"/>
            </w:pPr>
            <w:r>
              <w:rPr>
                <w:sz w:val="20"/>
              </w:rPr>
            </w:r>
          </w:p>
        </w:tc>
        <w:tc>
          <w:tcPr>
            <w:tcW w:w="7247" w:type="dxa"/>
            <w:tcBorders>
              <w:top w:val="nil"/>
              <w:left w:val="nil"/>
              <w:bottom w:val="single" w:sz="4"/>
              <w:right w:val="nil"/>
            </w:tcBorders>
          </w:tcPr>
          <w:p>
            <w:pPr>
              <w:pStyle w:val="0"/>
            </w:pPr>
            <w:r>
              <w:rPr>
                <w:sz w:val="20"/>
              </w:rPr>
            </w:r>
          </w:p>
        </w:tc>
      </w:tr>
      <w:tr>
        <w:tc>
          <w:tcPr>
            <w:tcW w:w="1440"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7247" w:type="dxa"/>
            <w:tcBorders>
              <w:top w:val="single" w:sz="4"/>
              <w:left w:val="nil"/>
              <w:bottom w:val="nil"/>
              <w:right w:val="nil"/>
            </w:tcBorders>
          </w:tcPr>
          <w:p>
            <w:pPr>
              <w:pStyle w:val="0"/>
              <w:jc w:val="center"/>
            </w:pPr>
            <w:r>
              <w:rPr>
                <w:sz w:val="20"/>
              </w:rPr>
              <w:t xml:space="preserve">(должность, подпись, инициалы, фамилия)</w:t>
            </w:r>
          </w:p>
        </w:tc>
      </w:tr>
    </w:tbl>
    <w:p>
      <w:pPr>
        <w:pStyle w:val="0"/>
        <w:jc w:val="both"/>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&lt;1&gt; Указывается в случае выделения оборудования отдельной строкой в соответствии с подпунктом "б" пункта 31 Порядка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в сфере градостроительной деятельности (за исключением территориального планирования), утвержденного Приказом Министерства строительства и жилищно-коммунального хозяйства Российской Федерации от 23 декабря 2019 г. N 841/пр (зарегистрирован Министерством юстиции Российской Федерации 3 февраля 2020 г., регистрационный N 57401) с изменениями, внесенными приказами Министерства строительства и жилищно-коммунального хозяйства Российской Федерации от 21 июля 2021 г. N 500/пр (зарегистрирован Министерством юстиции Российской Федерации 13 августа 2021 г., регистрационный N 64642), от 7 октября 2021 г. N 728/пр (зарегистрирован Министерством юстиции Российской Федерации 2 декабря 2021 г., регистрационный N 66180), от 25 февраля 2022 г. N 124/пр (зарегистрирован Министерством юстиции Российской Федерации 27 апреля 2022 г., регистрационный N 68345).</w:t>
      </w:r>
    </w:p>
    <w:p>
      <w:pPr>
        <w:pStyle w:val="0"/>
        <w:spacing w:before="200" w:line-rule="auto"/>
        <w:ind w:firstLine="540"/>
        <w:jc w:val="both"/>
      </w:pPr>
      <w:r>
        <w:rPr>
          <w:sz w:val="20"/>
        </w:rPr>
        <w:t xml:space="preserve">&lt;2&gt; Указывается отдельно для позиций проекта сметы контракта, для которых НДС имеет различные значения.</w:t>
      </w:r>
    </w:p>
    <w:p>
      <w:pPr>
        <w:pStyle w:val="0"/>
        <w:spacing w:before="200" w:line-rule="auto"/>
        <w:ind w:firstLine="540"/>
        <w:jc w:val="both"/>
      </w:pPr>
      <w:r>
        <w:rPr>
          <w:sz w:val="20"/>
        </w:rPr>
        <w:t xml:space="preserve">&lt;3&gt; Указывается (в рублях) стоимость всего, определенная как произведение значений граф 4 и 5 проекта сметы контракта. В отношении оборудования указывается стоимость без НДС и стоимость с НДС в формате "стоимость без НДС (стоимость с НДС)".</w:t>
      </w:r>
    </w:p>
    <w:p>
      <w:pPr>
        <w:pStyle w:val="0"/>
        <w:spacing w:before="200" w:line-rule="auto"/>
        <w:ind w:firstLine="540"/>
        <w:jc w:val="both"/>
      </w:pPr>
      <w:r>
        <w:rPr>
          <w:sz w:val="20"/>
        </w:rPr>
        <w:t xml:space="preserve">&lt;4&gt; Указывается в отношении оборудования, подлежащего принятию заказчиком к бухгалтерскому учету в качестве объектов основных средств.".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bookmarkStart w:id="527" w:name="P527"/>
    <w:bookmarkEnd w:id="527"/>
    <w:p>
      <w:pPr>
        <w:pStyle w:val="0"/>
        <w:outlineLvl w:val="1"/>
        <w:jc w:val="right"/>
      </w:pPr>
      <w:r>
        <w:rPr>
          <w:sz w:val="20"/>
        </w:rPr>
        <w:t xml:space="preserve">Приложение N 2</w:t>
      </w:r>
    </w:p>
    <w:p>
      <w:pPr>
        <w:pStyle w:val="0"/>
        <w:jc w:val="right"/>
      </w:pPr>
      <w:r>
        <w:rPr>
          <w:sz w:val="20"/>
        </w:rPr>
        <w:t xml:space="preserve">к изменениям, которые вносятся</w:t>
      </w:r>
    </w:p>
    <w:p>
      <w:pPr>
        <w:pStyle w:val="0"/>
        <w:jc w:val="right"/>
      </w:pPr>
      <w:r>
        <w:rPr>
          <w:sz w:val="20"/>
        </w:rPr>
        <w:t xml:space="preserve">в приказ Министерства строительства</w:t>
      </w:r>
    </w:p>
    <w:p>
      <w:pPr>
        <w:pStyle w:val="0"/>
        <w:jc w:val="right"/>
      </w:pPr>
      <w:r>
        <w:rPr>
          <w:sz w:val="20"/>
        </w:rPr>
        <w:t xml:space="preserve">и жилищно-коммунального хозяйства</w:t>
      </w:r>
    </w:p>
    <w:p>
      <w:pPr>
        <w:pStyle w:val="0"/>
        <w:jc w:val="right"/>
      </w:pPr>
      <w:r>
        <w:rPr>
          <w:sz w:val="20"/>
        </w:rPr>
        <w:t xml:space="preserve">Российской Федерации</w:t>
      </w:r>
    </w:p>
    <w:p>
      <w:pPr>
        <w:pStyle w:val="0"/>
        <w:jc w:val="right"/>
      </w:pPr>
      <w:r>
        <w:rPr>
          <w:sz w:val="20"/>
        </w:rPr>
        <w:t xml:space="preserve">от 23 декабря 2019 г. N 841/пр</w:t>
      </w:r>
    </w:p>
    <w:p>
      <w:pPr>
        <w:pStyle w:val="0"/>
        <w:jc w:val="both"/>
      </w:pPr>
      <w:r>
        <w:rPr>
          <w:sz w:val="20"/>
        </w:rPr>
      </w:r>
    </w:p>
    <w:p>
      <w:pPr>
        <w:pStyle w:val="0"/>
        <w:outlineLvl w:val="2"/>
        <w:jc w:val="right"/>
      </w:pPr>
      <w:r>
        <w:rPr>
          <w:sz w:val="20"/>
        </w:rPr>
        <w:t xml:space="preserve">"Приложение N 1</w:t>
      </w:r>
    </w:p>
    <w:p>
      <w:pPr>
        <w:pStyle w:val="0"/>
        <w:jc w:val="right"/>
      </w:pPr>
      <w:r>
        <w:rPr>
          <w:sz w:val="20"/>
        </w:rPr>
        <w:t xml:space="preserve">к Методике составления сметы</w:t>
      </w:r>
    </w:p>
    <w:p>
      <w:pPr>
        <w:pStyle w:val="0"/>
        <w:jc w:val="right"/>
      </w:pPr>
      <w:r>
        <w:rPr>
          <w:sz w:val="20"/>
        </w:rPr>
        <w:t xml:space="preserve">контракта, предметом которого</w:t>
      </w:r>
    </w:p>
    <w:p>
      <w:pPr>
        <w:pStyle w:val="0"/>
        <w:jc w:val="right"/>
      </w:pPr>
      <w:r>
        <w:rPr>
          <w:sz w:val="20"/>
        </w:rPr>
        <w:t xml:space="preserve">являются строительство, реконструкция</w:t>
      </w:r>
    </w:p>
    <w:p>
      <w:pPr>
        <w:pStyle w:val="0"/>
        <w:jc w:val="right"/>
      </w:pPr>
      <w:r>
        <w:rPr>
          <w:sz w:val="20"/>
        </w:rPr>
        <w:t xml:space="preserve">объектов капитального строительства,</w:t>
      </w:r>
    </w:p>
    <w:p>
      <w:pPr>
        <w:pStyle w:val="0"/>
        <w:jc w:val="right"/>
      </w:pPr>
      <w:r>
        <w:rPr>
          <w:sz w:val="20"/>
        </w:rPr>
        <w:t xml:space="preserve">утвержденной приказом</w:t>
      </w:r>
    </w:p>
    <w:p>
      <w:pPr>
        <w:pStyle w:val="0"/>
        <w:jc w:val="right"/>
      </w:pPr>
      <w:r>
        <w:rPr>
          <w:sz w:val="20"/>
        </w:rPr>
        <w:t xml:space="preserve">Министерства строительства</w:t>
      </w:r>
    </w:p>
    <w:p>
      <w:pPr>
        <w:pStyle w:val="0"/>
        <w:jc w:val="right"/>
      </w:pPr>
      <w:r>
        <w:rPr>
          <w:sz w:val="20"/>
        </w:rPr>
        <w:t xml:space="preserve">и жилищно-коммунального хозяйства</w:t>
      </w:r>
    </w:p>
    <w:p>
      <w:pPr>
        <w:pStyle w:val="0"/>
        <w:jc w:val="right"/>
      </w:pPr>
      <w:r>
        <w:rPr>
          <w:sz w:val="20"/>
        </w:rPr>
        <w:t xml:space="preserve">Российской Федерации</w:t>
      </w:r>
    </w:p>
    <w:p>
      <w:pPr>
        <w:pStyle w:val="0"/>
        <w:jc w:val="right"/>
      </w:pPr>
      <w:r>
        <w:rPr>
          <w:sz w:val="20"/>
        </w:rPr>
        <w:t xml:space="preserve">от 23 декабря 2019 г. N 841/пр</w:t>
      </w:r>
    </w:p>
    <w:p>
      <w:pPr>
        <w:pStyle w:val="0"/>
        <w:jc w:val="both"/>
      </w:pPr>
      <w:r>
        <w:rPr>
          <w:sz w:val="20"/>
        </w:rPr>
      </w:r>
    </w:p>
    <w:p>
      <w:pPr>
        <w:pStyle w:val="0"/>
        <w:jc w:val="right"/>
      </w:pPr>
      <w:r>
        <w:rPr>
          <w:sz w:val="20"/>
        </w:rPr>
        <w:t xml:space="preserve">(рекомендуемый образец)</w:t>
      </w:r>
    </w:p>
    <w:p>
      <w:pPr>
        <w:pStyle w:val="0"/>
        <w:jc w:val="both"/>
      </w:pPr>
      <w:r>
        <w:rPr>
          <w:sz w:val="20"/>
        </w:rPr>
      </w:r>
    </w:p>
    <w:p>
      <w:pPr>
        <w:pStyle w:val="0"/>
        <w:jc w:val="center"/>
      </w:pPr>
      <w:r>
        <w:rPr>
          <w:sz w:val="20"/>
        </w:rPr>
        <w:t xml:space="preserve">Смета контракта</w:t>
      </w:r>
    </w:p>
    <w:p>
      <w:pPr>
        <w:pStyle w:val="0"/>
        <w:jc w:val="center"/>
      </w:pPr>
      <w:r>
        <w:rPr>
          <w:sz w:val="20"/>
        </w:rPr>
        <w:t xml:space="preserve">______________________________________</w:t>
      </w:r>
    </w:p>
    <w:p>
      <w:pPr>
        <w:pStyle w:val="0"/>
        <w:jc w:val="center"/>
      </w:pPr>
      <w:r>
        <w:rPr>
          <w:sz w:val="20"/>
        </w:rPr>
        <w:t xml:space="preserve">(наименование объекта)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77"/>
        <w:gridCol w:w="3058"/>
        <w:gridCol w:w="914"/>
        <w:gridCol w:w="975"/>
        <w:gridCol w:w="1260"/>
        <w:gridCol w:w="934"/>
        <w:gridCol w:w="1211"/>
      </w:tblGrid>
      <w:tr>
        <w:tc>
          <w:tcPr>
            <w:tcW w:w="677" w:type="dxa"/>
          </w:tcPr>
          <w:p>
            <w:pPr>
              <w:pStyle w:val="0"/>
              <w:jc w:val="center"/>
            </w:pPr>
            <w:r>
              <w:rPr>
                <w:sz w:val="20"/>
              </w:rPr>
              <w:t xml:space="preserve">N п/п &lt;1&gt;</w:t>
            </w:r>
          </w:p>
        </w:tc>
        <w:tc>
          <w:tcPr>
            <w:tcW w:w="3058" w:type="dxa"/>
          </w:tcPr>
          <w:p>
            <w:pPr>
              <w:pStyle w:val="0"/>
              <w:jc w:val="center"/>
            </w:pPr>
            <w:r>
              <w:rPr>
                <w:sz w:val="20"/>
              </w:rPr>
              <w:t xml:space="preserve">Наименование конструктивных решений (элементов), комплексов (видов) работ, оборудования &lt;1&gt;</w:t>
            </w:r>
          </w:p>
        </w:tc>
        <w:tc>
          <w:tcPr>
            <w:tcW w:w="914" w:type="dxa"/>
          </w:tcPr>
          <w:p>
            <w:pPr>
              <w:pStyle w:val="0"/>
              <w:jc w:val="center"/>
            </w:pPr>
            <w:r>
              <w:rPr>
                <w:sz w:val="20"/>
              </w:rPr>
              <w:t xml:space="preserve">Единица измерения &lt;1&gt;</w:t>
            </w:r>
          </w:p>
        </w:tc>
        <w:tc>
          <w:tcPr>
            <w:tcW w:w="975" w:type="dxa"/>
          </w:tcPr>
          <w:p>
            <w:pPr>
              <w:pStyle w:val="0"/>
              <w:jc w:val="center"/>
            </w:pPr>
            <w:r>
              <w:rPr>
                <w:sz w:val="20"/>
              </w:rPr>
              <w:t xml:space="preserve">Количество (объем работ) &lt;1&gt;</w:t>
            </w:r>
          </w:p>
        </w:tc>
        <w:tc>
          <w:tcPr>
            <w:tcW w:w="1260" w:type="dxa"/>
          </w:tcPr>
          <w:p>
            <w:pPr>
              <w:pStyle w:val="0"/>
              <w:jc w:val="center"/>
            </w:pPr>
            <w:r>
              <w:rPr>
                <w:sz w:val="20"/>
              </w:rPr>
              <w:t xml:space="preserve">Цена на единицу измерения, без НДС руб.</w:t>
            </w:r>
          </w:p>
        </w:tc>
        <w:tc>
          <w:tcPr>
            <w:tcW w:w="934" w:type="dxa"/>
          </w:tcPr>
          <w:p>
            <w:pPr>
              <w:pStyle w:val="0"/>
              <w:jc w:val="center"/>
            </w:pPr>
            <w:r>
              <w:rPr>
                <w:sz w:val="20"/>
              </w:rPr>
              <w:t xml:space="preserve">Стоимость всего, руб. &lt;3&gt;</w:t>
            </w:r>
          </w:p>
        </w:tc>
        <w:tc>
          <w:tcPr>
            <w:tcW w:w="1211" w:type="dxa"/>
          </w:tcPr>
          <w:p>
            <w:pPr>
              <w:pStyle w:val="0"/>
              <w:jc w:val="center"/>
            </w:pPr>
            <w:r>
              <w:rPr>
                <w:sz w:val="20"/>
              </w:rPr>
              <w:t xml:space="preserve">Страна происхождения оборудования &lt;4&gt;</w:t>
            </w:r>
          </w:p>
        </w:tc>
      </w:tr>
      <w:tr>
        <w:tc>
          <w:tcPr>
            <w:tcW w:w="677" w:type="dxa"/>
          </w:tcPr>
          <w:p>
            <w:pPr>
              <w:pStyle w:val="0"/>
              <w:jc w:val="center"/>
            </w:pPr>
            <w:r>
              <w:rPr>
                <w:sz w:val="20"/>
              </w:rPr>
              <w:t xml:space="preserve">1</w:t>
            </w:r>
          </w:p>
        </w:tc>
        <w:tc>
          <w:tcPr>
            <w:tcW w:w="3058" w:type="dxa"/>
          </w:tcPr>
          <w:p>
            <w:pPr>
              <w:pStyle w:val="0"/>
              <w:jc w:val="center"/>
            </w:pPr>
            <w:r>
              <w:rPr>
                <w:sz w:val="20"/>
              </w:rPr>
              <w:t xml:space="preserve">2</w:t>
            </w:r>
          </w:p>
        </w:tc>
        <w:tc>
          <w:tcPr>
            <w:tcW w:w="914" w:type="dxa"/>
          </w:tcPr>
          <w:p>
            <w:pPr>
              <w:pStyle w:val="0"/>
              <w:jc w:val="center"/>
            </w:pPr>
            <w:r>
              <w:rPr>
                <w:sz w:val="20"/>
              </w:rPr>
              <w:t xml:space="preserve">3</w:t>
            </w:r>
          </w:p>
        </w:tc>
        <w:tc>
          <w:tcPr>
            <w:tcW w:w="975" w:type="dxa"/>
          </w:tcPr>
          <w:p>
            <w:pPr>
              <w:pStyle w:val="0"/>
              <w:jc w:val="center"/>
            </w:pPr>
            <w:r>
              <w:rPr>
                <w:sz w:val="20"/>
              </w:rPr>
              <w:t xml:space="preserve">4</w:t>
            </w:r>
          </w:p>
        </w:tc>
        <w:tc>
          <w:tcPr>
            <w:tcW w:w="1260" w:type="dxa"/>
          </w:tcPr>
          <w:p>
            <w:pPr>
              <w:pStyle w:val="0"/>
              <w:jc w:val="center"/>
            </w:pPr>
            <w:r>
              <w:rPr>
                <w:sz w:val="20"/>
              </w:rPr>
              <w:t xml:space="preserve">5</w:t>
            </w:r>
          </w:p>
        </w:tc>
        <w:tc>
          <w:tcPr>
            <w:tcW w:w="934" w:type="dxa"/>
          </w:tcPr>
          <w:p>
            <w:pPr>
              <w:pStyle w:val="0"/>
              <w:jc w:val="center"/>
            </w:pPr>
            <w:r>
              <w:rPr>
                <w:sz w:val="20"/>
              </w:rPr>
              <w:t xml:space="preserve">6</w:t>
            </w:r>
          </w:p>
        </w:tc>
        <w:tc>
          <w:tcPr>
            <w:tcW w:w="1211" w:type="dxa"/>
          </w:tcPr>
          <w:p>
            <w:pPr>
              <w:pStyle w:val="0"/>
              <w:jc w:val="center"/>
            </w:pPr>
            <w:r>
              <w:rPr>
                <w:sz w:val="20"/>
              </w:rPr>
              <w:t xml:space="preserve">7</w:t>
            </w:r>
          </w:p>
        </w:tc>
      </w:tr>
      <w:tr>
        <w:tc>
          <w:tcPr>
            <w:tcW w:w="677" w:type="dxa"/>
          </w:tcPr>
          <w:p>
            <w:pPr>
              <w:pStyle w:val="0"/>
            </w:pPr>
            <w:r>
              <w:rPr>
                <w:sz w:val="20"/>
              </w:rPr>
            </w:r>
          </w:p>
        </w:tc>
        <w:tc>
          <w:tcPr>
            <w:tcW w:w="3058" w:type="dxa"/>
          </w:tcPr>
          <w:p>
            <w:pPr>
              <w:pStyle w:val="0"/>
            </w:pPr>
            <w:r>
              <w:rPr>
                <w:sz w:val="20"/>
              </w:rPr>
            </w:r>
          </w:p>
        </w:tc>
        <w:tc>
          <w:tcPr>
            <w:tcW w:w="914" w:type="dxa"/>
          </w:tcPr>
          <w:p>
            <w:pPr>
              <w:pStyle w:val="0"/>
            </w:pPr>
            <w:r>
              <w:rPr>
                <w:sz w:val="20"/>
              </w:rPr>
            </w:r>
          </w:p>
        </w:tc>
        <w:tc>
          <w:tcPr>
            <w:tcW w:w="975" w:type="dxa"/>
          </w:tcPr>
          <w:p>
            <w:pPr>
              <w:pStyle w:val="0"/>
            </w:pPr>
            <w:r>
              <w:rPr>
                <w:sz w:val="20"/>
              </w:rPr>
            </w:r>
          </w:p>
        </w:tc>
        <w:tc>
          <w:tcPr>
            <w:tcW w:w="1260" w:type="dxa"/>
          </w:tcPr>
          <w:p>
            <w:pPr>
              <w:pStyle w:val="0"/>
            </w:pPr>
            <w:r>
              <w:rPr>
                <w:sz w:val="20"/>
              </w:rPr>
            </w:r>
          </w:p>
        </w:tc>
        <w:tc>
          <w:tcPr>
            <w:tcW w:w="934" w:type="dxa"/>
          </w:tcPr>
          <w:p>
            <w:pPr>
              <w:pStyle w:val="0"/>
            </w:pPr>
            <w:r>
              <w:rPr>
                <w:sz w:val="20"/>
              </w:rPr>
            </w:r>
          </w:p>
        </w:tc>
        <w:tc>
          <w:tcPr>
            <w:tcW w:w="1211" w:type="dxa"/>
          </w:tcPr>
          <w:p>
            <w:pPr>
              <w:pStyle w:val="0"/>
            </w:pPr>
            <w:r>
              <w:rPr>
                <w:sz w:val="20"/>
              </w:rPr>
            </w:r>
          </w:p>
        </w:tc>
      </w:tr>
      <w:tr>
        <w:tc>
          <w:tcPr>
            <w:tcW w:w="677" w:type="dxa"/>
          </w:tcPr>
          <w:p>
            <w:pPr>
              <w:pStyle w:val="0"/>
            </w:pPr>
            <w:r>
              <w:rPr>
                <w:sz w:val="20"/>
              </w:rPr>
            </w:r>
          </w:p>
        </w:tc>
        <w:tc>
          <w:tcPr>
            <w:tcW w:w="3058" w:type="dxa"/>
          </w:tcPr>
          <w:p>
            <w:pPr>
              <w:pStyle w:val="0"/>
            </w:pPr>
            <w:r>
              <w:rPr>
                <w:sz w:val="20"/>
              </w:rPr>
            </w:r>
          </w:p>
        </w:tc>
        <w:tc>
          <w:tcPr>
            <w:tcW w:w="914" w:type="dxa"/>
          </w:tcPr>
          <w:p>
            <w:pPr>
              <w:pStyle w:val="0"/>
            </w:pPr>
            <w:r>
              <w:rPr>
                <w:sz w:val="20"/>
              </w:rPr>
            </w:r>
          </w:p>
        </w:tc>
        <w:tc>
          <w:tcPr>
            <w:tcW w:w="975" w:type="dxa"/>
          </w:tcPr>
          <w:p>
            <w:pPr>
              <w:pStyle w:val="0"/>
            </w:pPr>
            <w:r>
              <w:rPr>
                <w:sz w:val="20"/>
              </w:rPr>
            </w:r>
          </w:p>
        </w:tc>
        <w:tc>
          <w:tcPr>
            <w:tcW w:w="1260" w:type="dxa"/>
          </w:tcPr>
          <w:p>
            <w:pPr>
              <w:pStyle w:val="0"/>
            </w:pPr>
            <w:r>
              <w:rPr>
                <w:sz w:val="20"/>
              </w:rPr>
            </w:r>
          </w:p>
        </w:tc>
        <w:tc>
          <w:tcPr>
            <w:tcW w:w="934" w:type="dxa"/>
          </w:tcPr>
          <w:p>
            <w:pPr>
              <w:pStyle w:val="0"/>
            </w:pPr>
            <w:r>
              <w:rPr>
                <w:sz w:val="20"/>
              </w:rPr>
            </w:r>
          </w:p>
        </w:tc>
        <w:tc>
          <w:tcPr>
            <w:tcW w:w="1211" w:type="dxa"/>
          </w:tcPr>
          <w:p>
            <w:pPr>
              <w:pStyle w:val="0"/>
            </w:pPr>
            <w:r>
              <w:rPr>
                <w:sz w:val="20"/>
              </w:rPr>
            </w:r>
          </w:p>
        </w:tc>
      </w:tr>
      <w:tr>
        <w:tc>
          <w:tcPr>
            <w:tcW w:w="677" w:type="dxa"/>
          </w:tcPr>
          <w:p>
            <w:pPr>
              <w:pStyle w:val="0"/>
            </w:pPr>
            <w:r>
              <w:rPr>
                <w:sz w:val="20"/>
              </w:rPr>
            </w:r>
          </w:p>
        </w:tc>
        <w:tc>
          <w:tcPr>
            <w:tcW w:w="3058" w:type="dxa"/>
          </w:tcPr>
          <w:p>
            <w:pPr>
              <w:pStyle w:val="0"/>
            </w:pPr>
            <w:r>
              <w:rPr>
                <w:sz w:val="20"/>
              </w:rPr>
              <w:t xml:space="preserve">Итого:</w:t>
            </w:r>
          </w:p>
        </w:tc>
        <w:tc>
          <w:tcPr>
            <w:tcW w:w="914" w:type="dxa"/>
          </w:tcPr>
          <w:p>
            <w:pPr>
              <w:pStyle w:val="0"/>
            </w:pPr>
            <w:r>
              <w:rPr>
                <w:sz w:val="20"/>
              </w:rPr>
            </w:r>
          </w:p>
        </w:tc>
        <w:tc>
          <w:tcPr>
            <w:tcW w:w="975" w:type="dxa"/>
          </w:tcPr>
          <w:p>
            <w:pPr>
              <w:pStyle w:val="0"/>
            </w:pPr>
            <w:r>
              <w:rPr>
                <w:sz w:val="20"/>
              </w:rPr>
            </w:r>
          </w:p>
        </w:tc>
        <w:tc>
          <w:tcPr>
            <w:tcW w:w="1260" w:type="dxa"/>
          </w:tcPr>
          <w:p>
            <w:pPr>
              <w:pStyle w:val="0"/>
            </w:pPr>
            <w:r>
              <w:rPr>
                <w:sz w:val="20"/>
              </w:rPr>
            </w:r>
          </w:p>
        </w:tc>
        <w:tc>
          <w:tcPr>
            <w:tcW w:w="934" w:type="dxa"/>
          </w:tcPr>
          <w:p>
            <w:pPr>
              <w:pStyle w:val="0"/>
            </w:pPr>
            <w:r>
              <w:rPr>
                <w:sz w:val="20"/>
              </w:rPr>
            </w:r>
          </w:p>
        </w:tc>
        <w:tc>
          <w:tcPr>
            <w:tcW w:w="1211" w:type="dxa"/>
          </w:tcPr>
          <w:p>
            <w:pPr>
              <w:pStyle w:val="0"/>
            </w:pPr>
            <w:r>
              <w:rPr>
                <w:sz w:val="20"/>
              </w:rPr>
            </w:r>
          </w:p>
        </w:tc>
      </w:tr>
      <w:tr>
        <w:tc>
          <w:tcPr>
            <w:tcW w:w="677" w:type="dxa"/>
          </w:tcPr>
          <w:p>
            <w:pPr>
              <w:pStyle w:val="0"/>
            </w:pPr>
            <w:r>
              <w:rPr>
                <w:sz w:val="20"/>
              </w:rPr>
            </w:r>
          </w:p>
        </w:tc>
        <w:tc>
          <w:tcPr>
            <w:tcW w:w="3058" w:type="dxa"/>
          </w:tcPr>
          <w:p>
            <w:pPr>
              <w:pStyle w:val="0"/>
            </w:pPr>
            <w:r>
              <w:rPr>
                <w:sz w:val="20"/>
              </w:rPr>
              <w:t xml:space="preserve">Сумма НДС (ставка &lt;N&gt;%) по позициям: &lt;2&gt;</w:t>
            </w:r>
          </w:p>
        </w:tc>
        <w:tc>
          <w:tcPr>
            <w:tcW w:w="914" w:type="dxa"/>
          </w:tcPr>
          <w:p>
            <w:pPr>
              <w:pStyle w:val="0"/>
            </w:pPr>
            <w:r>
              <w:rPr>
                <w:sz w:val="20"/>
              </w:rPr>
            </w:r>
          </w:p>
        </w:tc>
        <w:tc>
          <w:tcPr>
            <w:tcW w:w="975" w:type="dxa"/>
          </w:tcPr>
          <w:p>
            <w:pPr>
              <w:pStyle w:val="0"/>
            </w:pPr>
            <w:r>
              <w:rPr>
                <w:sz w:val="20"/>
              </w:rPr>
            </w:r>
          </w:p>
        </w:tc>
        <w:tc>
          <w:tcPr>
            <w:tcW w:w="1260" w:type="dxa"/>
          </w:tcPr>
          <w:p>
            <w:pPr>
              <w:pStyle w:val="0"/>
            </w:pPr>
            <w:r>
              <w:rPr>
                <w:sz w:val="20"/>
              </w:rPr>
            </w:r>
          </w:p>
        </w:tc>
        <w:tc>
          <w:tcPr>
            <w:tcW w:w="934" w:type="dxa"/>
          </w:tcPr>
          <w:p>
            <w:pPr>
              <w:pStyle w:val="0"/>
            </w:pPr>
            <w:r>
              <w:rPr>
                <w:sz w:val="20"/>
              </w:rPr>
            </w:r>
          </w:p>
        </w:tc>
        <w:tc>
          <w:tcPr>
            <w:tcW w:w="1211" w:type="dxa"/>
          </w:tcPr>
          <w:p>
            <w:pPr>
              <w:pStyle w:val="0"/>
            </w:pPr>
            <w:r>
              <w:rPr>
                <w:sz w:val="20"/>
              </w:rPr>
            </w:r>
          </w:p>
        </w:tc>
      </w:tr>
      <w:tr>
        <w:tc>
          <w:tcPr>
            <w:tcW w:w="677" w:type="dxa"/>
          </w:tcPr>
          <w:p>
            <w:pPr>
              <w:pStyle w:val="0"/>
            </w:pPr>
            <w:r>
              <w:rPr>
                <w:sz w:val="20"/>
              </w:rPr>
            </w:r>
          </w:p>
        </w:tc>
        <w:tc>
          <w:tcPr>
            <w:tcW w:w="3058" w:type="dxa"/>
          </w:tcPr>
          <w:p>
            <w:pPr>
              <w:pStyle w:val="0"/>
            </w:pPr>
            <w:r>
              <w:rPr>
                <w:sz w:val="20"/>
              </w:rPr>
              <w:t xml:space="preserve">Всего с НДС:</w:t>
            </w:r>
          </w:p>
        </w:tc>
        <w:tc>
          <w:tcPr>
            <w:tcW w:w="914" w:type="dxa"/>
          </w:tcPr>
          <w:p>
            <w:pPr>
              <w:pStyle w:val="0"/>
            </w:pPr>
            <w:r>
              <w:rPr>
                <w:sz w:val="20"/>
              </w:rPr>
            </w:r>
          </w:p>
        </w:tc>
        <w:tc>
          <w:tcPr>
            <w:tcW w:w="975" w:type="dxa"/>
          </w:tcPr>
          <w:p>
            <w:pPr>
              <w:pStyle w:val="0"/>
            </w:pPr>
            <w:r>
              <w:rPr>
                <w:sz w:val="20"/>
              </w:rPr>
            </w:r>
          </w:p>
        </w:tc>
        <w:tc>
          <w:tcPr>
            <w:tcW w:w="1260" w:type="dxa"/>
          </w:tcPr>
          <w:p>
            <w:pPr>
              <w:pStyle w:val="0"/>
            </w:pPr>
            <w:r>
              <w:rPr>
                <w:sz w:val="20"/>
              </w:rPr>
            </w:r>
          </w:p>
        </w:tc>
        <w:tc>
          <w:tcPr>
            <w:tcW w:w="934" w:type="dxa"/>
          </w:tcPr>
          <w:p>
            <w:pPr>
              <w:pStyle w:val="0"/>
            </w:pPr>
            <w:r>
              <w:rPr>
                <w:sz w:val="20"/>
              </w:rPr>
            </w:r>
          </w:p>
        </w:tc>
        <w:tc>
          <w:tcPr>
            <w:tcW w:w="1211" w:type="dxa"/>
          </w:tcPr>
          <w:p>
            <w:pPr>
              <w:pStyle w:val="0"/>
            </w:pPr>
            <w:r>
              <w:rPr>
                <w:sz w:val="20"/>
              </w:rPr>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1440"/>
        <w:gridCol w:w="340"/>
        <w:gridCol w:w="7247"/>
      </w:tblGrid>
      <w:tr>
        <w:tc>
          <w:tcPr>
            <w:tcW w:w="1440" w:type="dxa"/>
            <w:tcBorders>
              <w:top w:val="nil"/>
              <w:left w:val="nil"/>
              <w:bottom w:val="nil"/>
              <w:right w:val="nil"/>
            </w:tcBorders>
          </w:tcPr>
          <w:p>
            <w:pPr>
              <w:pStyle w:val="0"/>
            </w:pPr>
            <w:r>
              <w:rPr>
                <w:sz w:val="20"/>
              </w:rPr>
              <w:t xml:space="preserve">Заказчик</w:t>
            </w:r>
          </w:p>
        </w:tc>
        <w:tc>
          <w:tcPr>
            <w:tcW w:w="340" w:type="dxa"/>
            <w:tcBorders>
              <w:top w:val="nil"/>
              <w:left w:val="nil"/>
              <w:bottom w:val="nil"/>
              <w:right w:val="nil"/>
            </w:tcBorders>
          </w:tcPr>
          <w:p>
            <w:pPr>
              <w:pStyle w:val="0"/>
            </w:pPr>
            <w:r>
              <w:rPr>
                <w:sz w:val="20"/>
              </w:rPr>
            </w:r>
          </w:p>
        </w:tc>
        <w:tc>
          <w:tcPr>
            <w:tcW w:w="7247" w:type="dxa"/>
            <w:tcBorders>
              <w:top w:val="nil"/>
              <w:left w:val="nil"/>
              <w:bottom w:val="single" w:sz="4"/>
              <w:right w:val="nil"/>
            </w:tcBorders>
          </w:tcPr>
          <w:p>
            <w:pPr>
              <w:pStyle w:val="0"/>
            </w:pPr>
            <w:r>
              <w:rPr>
                <w:sz w:val="20"/>
              </w:rPr>
            </w:r>
          </w:p>
        </w:tc>
      </w:tr>
      <w:tr>
        <w:tc>
          <w:tcPr>
            <w:tcW w:w="1440"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7247" w:type="dxa"/>
            <w:tcBorders>
              <w:top w:val="single" w:sz="4"/>
              <w:left w:val="nil"/>
              <w:bottom w:val="nil"/>
              <w:right w:val="nil"/>
            </w:tcBorders>
          </w:tcPr>
          <w:p>
            <w:pPr>
              <w:pStyle w:val="0"/>
              <w:jc w:val="center"/>
            </w:pPr>
            <w:r>
              <w:rPr>
                <w:sz w:val="20"/>
              </w:rPr>
              <w:t xml:space="preserve">(должность, подпись, инициалы, фамилия)</w:t>
            </w:r>
          </w:p>
        </w:tc>
      </w:tr>
      <w:tr>
        <w:tc>
          <w:tcPr>
            <w:tcW w:w="1440" w:type="dxa"/>
            <w:tcBorders>
              <w:top w:val="nil"/>
              <w:left w:val="nil"/>
              <w:bottom w:val="nil"/>
              <w:right w:val="nil"/>
            </w:tcBorders>
          </w:tcPr>
          <w:p>
            <w:pPr>
              <w:pStyle w:val="0"/>
            </w:pPr>
            <w:r>
              <w:rPr>
                <w:sz w:val="20"/>
              </w:rPr>
              <w:t xml:space="preserve">Подрядчик</w:t>
            </w:r>
          </w:p>
        </w:tc>
        <w:tc>
          <w:tcPr>
            <w:tcW w:w="340" w:type="dxa"/>
            <w:tcBorders>
              <w:top w:val="nil"/>
              <w:left w:val="nil"/>
              <w:bottom w:val="nil"/>
              <w:right w:val="nil"/>
            </w:tcBorders>
          </w:tcPr>
          <w:p>
            <w:pPr>
              <w:pStyle w:val="0"/>
            </w:pPr>
            <w:r>
              <w:rPr>
                <w:sz w:val="20"/>
              </w:rPr>
            </w:r>
          </w:p>
        </w:tc>
        <w:tc>
          <w:tcPr>
            <w:tcW w:w="7247" w:type="dxa"/>
            <w:tcBorders>
              <w:top w:val="nil"/>
              <w:left w:val="nil"/>
              <w:bottom w:val="single" w:sz="4"/>
              <w:right w:val="nil"/>
            </w:tcBorders>
          </w:tcPr>
          <w:p>
            <w:pPr>
              <w:pStyle w:val="0"/>
            </w:pPr>
            <w:r>
              <w:rPr>
                <w:sz w:val="20"/>
              </w:rPr>
            </w:r>
          </w:p>
        </w:tc>
      </w:tr>
      <w:tr>
        <w:tc>
          <w:tcPr>
            <w:tcW w:w="1440"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7247" w:type="dxa"/>
            <w:tcBorders>
              <w:top w:val="single" w:sz="4"/>
              <w:left w:val="nil"/>
              <w:bottom w:val="nil"/>
              <w:right w:val="nil"/>
            </w:tcBorders>
          </w:tcPr>
          <w:p>
            <w:pPr>
              <w:pStyle w:val="0"/>
              <w:jc w:val="center"/>
            </w:pPr>
            <w:r>
              <w:rPr>
                <w:sz w:val="20"/>
              </w:rPr>
              <w:t xml:space="preserve">(должность, подпись, инициалы, фамилия)</w:t>
            </w:r>
          </w:p>
        </w:tc>
      </w:tr>
    </w:tbl>
    <w:p>
      <w:pPr>
        <w:pStyle w:val="0"/>
        <w:jc w:val="both"/>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&lt;1&gt; Заполняется в соответствии с проектом сметы контракта без изменения содержания.</w:t>
      </w:r>
    </w:p>
    <w:p>
      <w:pPr>
        <w:pStyle w:val="0"/>
        <w:spacing w:before="200" w:line-rule="auto"/>
        <w:ind w:firstLine="540"/>
        <w:jc w:val="both"/>
      </w:pPr>
      <w:r>
        <w:rPr>
          <w:sz w:val="20"/>
        </w:rPr>
        <w:t xml:space="preserve">&lt;2&gt; Указывается отдельно для позиций сметы контракта, для которых НДС имеет различные значения.</w:t>
      </w:r>
    </w:p>
    <w:p>
      <w:pPr>
        <w:pStyle w:val="0"/>
        <w:spacing w:before="200" w:line-rule="auto"/>
        <w:ind w:firstLine="540"/>
        <w:jc w:val="both"/>
      </w:pPr>
      <w:r>
        <w:rPr>
          <w:sz w:val="20"/>
        </w:rPr>
        <w:t xml:space="preserve">&lt;3&gt; Указывается (в рублях) стоимость всего, определенная как произведение значений граф 4 и 5 сметы контракта. В отношении оборудования указывается стоимость без НДС и стоимость с НДС в формате "стоимость без НДС (стоимость с НДС)".</w:t>
      </w:r>
    </w:p>
    <w:p>
      <w:pPr>
        <w:pStyle w:val="0"/>
        <w:spacing w:before="200" w:line-rule="auto"/>
        <w:ind w:firstLine="540"/>
        <w:jc w:val="both"/>
      </w:pPr>
      <w:r>
        <w:rPr>
          <w:sz w:val="20"/>
        </w:rPr>
        <w:t xml:space="preserve">&lt;4&gt; Указывается в отношении оборудования, подлежащего принятию заказчиком к бухгалтерскому учету в качестве объектов основных средств.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N 2</w:t>
      </w:r>
    </w:p>
    <w:p>
      <w:pPr>
        <w:pStyle w:val="0"/>
        <w:jc w:val="right"/>
      </w:pPr>
      <w:r>
        <w:rPr>
          <w:sz w:val="20"/>
        </w:rPr>
        <w:t xml:space="preserve">к Методике составления сметы</w:t>
      </w:r>
    </w:p>
    <w:p>
      <w:pPr>
        <w:pStyle w:val="0"/>
        <w:jc w:val="right"/>
      </w:pPr>
      <w:r>
        <w:rPr>
          <w:sz w:val="20"/>
        </w:rPr>
        <w:t xml:space="preserve">контракта, предметом которого</w:t>
      </w:r>
    </w:p>
    <w:p>
      <w:pPr>
        <w:pStyle w:val="0"/>
        <w:jc w:val="right"/>
      </w:pPr>
      <w:r>
        <w:rPr>
          <w:sz w:val="20"/>
        </w:rPr>
        <w:t xml:space="preserve">являются строительство, реконструкция</w:t>
      </w:r>
    </w:p>
    <w:p>
      <w:pPr>
        <w:pStyle w:val="0"/>
        <w:jc w:val="right"/>
      </w:pPr>
      <w:r>
        <w:rPr>
          <w:sz w:val="20"/>
        </w:rPr>
        <w:t xml:space="preserve">объектов капитального строительства,</w:t>
      </w:r>
    </w:p>
    <w:p>
      <w:pPr>
        <w:pStyle w:val="0"/>
        <w:jc w:val="right"/>
      </w:pPr>
      <w:r>
        <w:rPr>
          <w:sz w:val="20"/>
        </w:rPr>
        <w:t xml:space="preserve">утвержденной приказом</w:t>
      </w:r>
    </w:p>
    <w:p>
      <w:pPr>
        <w:pStyle w:val="0"/>
        <w:jc w:val="right"/>
      </w:pPr>
      <w:r>
        <w:rPr>
          <w:sz w:val="20"/>
        </w:rPr>
        <w:t xml:space="preserve">Министерства строительства</w:t>
      </w:r>
    </w:p>
    <w:p>
      <w:pPr>
        <w:pStyle w:val="0"/>
        <w:jc w:val="right"/>
      </w:pPr>
      <w:r>
        <w:rPr>
          <w:sz w:val="20"/>
        </w:rPr>
        <w:t xml:space="preserve">и жилищно-коммунального хозяйства</w:t>
      </w:r>
    </w:p>
    <w:p>
      <w:pPr>
        <w:pStyle w:val="0"/>
        <w:jc w:val="right"/>
      </w:pPr>
      <w:r>
        <w:rPr>
          <w:sz w:val="20"/>
        </w:rPr>
        <w:t xml:space="preserve">Российской Федерации</w:t>
      </w:r>
    </w:p>
    <w:p>
      <w:pPr>
        <w:pStyle w:val="0"/>
        <w:jc w:val="right"/>
      </w:pPr>
      <w:r>
        <w:rPr>
          <w:sz w:val="20"/>
        </w:rPr>
        <w:t xml:space="preserve">от 23 декабря 2019 г. N 841/пр</w:t>
      </w:r>
    </w:p>
    <w:p>
      <w:pPr>
        <w:pStyle w:val="0"/>
        <w:jc w:val="both"/>
      </w:pPr>
      <w:r>
        <w:rPr>
          <w:sz w:val="20"/>
        </w:rPr>
      </w:r>
    </w:p>
    <w:p>
      <w:pPr>
        <w:pStyle w:val="0"/>
        <w:jc w:val="right"/>
      </w:pPr>
      <w:r>
        <w:rPr>
          <w:sz w:val="20"/>
        </w:rPr>
        <w:t xml:space="preserve">(рекомендуемый образец)</w:t>
      </w:r>
    </w:p>
    <w:p>
      <w:pPr>
        <w:pStyle w:val="0"/>
        <w:jc w:val="both"/>
      </w:pPr>
      <w:r>
        <w:rPr>
          <w:sz w:val="20"/>
        </w:rPr>
      </w:r>
    </w:p>
    <w:p>
      <w:pPr>
        <w:pStyle w:val="0"/>
        <w:jc w:val="center"/>
      </w:pPr>
      <w:r>
        <w:rPr>
          <w:sz w:val="20"/>
        </w:rPr>
        <w:t xml:space="preserve">Смета контракта (с учетом изменения)</w:t>
      </w:r>
    </w:p>
    <w:p>
      <w:pPr>
        <w:pStyle w:val="0"/>
        <w:jc w:val="center"/>
      </w:pPr>
      <w:r>
        <w:rPr>
          <w:sz w:val="20"/>
        </w:rPr>
        <w:t xml:space="preserve">______________________________________________</w:t>
      </w:r>
    </w:p>
    <w:p>
      <w:pPr>
        <w:pStyle w:val="0"/>
        <w:jc w:val="center"/>
      </w:pPr>
      <w:r>
        <w:rPr>
          <w:sz w:val="20"/>
        </w:rPr>
        <w:t xml:space="preserve">(наименование объекта)</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19"/>
        <w:gridCol w:w="2376"/>
        <w:gridCol w:w="770"/>
        <w:gridCol w:w="1003"/>
        <w:gridCol w:w="1202"/>
        <w:gridCol w:w="968"/>
        <w:gridCol w:w="1579"/>
        <w:gridCol w:w="1031"/>
        <w:gridCol w:w="1297"/>
        <w:gridCol w:w="1054"/>
      </w:tblGrid>
      <w:tr>
        <w:tc>
          <w:tcPr>
            <w:tcW w:w="619" w:type="dxa"/>
            <w:vMerge w:val="restart"/>
          </w:tcPr>
          <w:p>
            <w:pPr>
              <w:pStyle w:val="0"/>
              <w:jc w:val="center"/>
            </w:pPr>
            <w:r>
              <w:rPr>
                <w:sz w:val="20"/>
              </w:rPr>
              <w:t xml:space="preserve">N п/п</w:t>
            </w:r>
          </w:p>
        </w:tc>
        <w:tc>
          <w:tcPr>
            <w:tcW w:w="2376" w:type="dxa"/>
            <w:vMerge w:val="restart"/>
          </w:tcPr>
          <w:p>
            <w:pPr>
              <w:pStyle w:val="0"/>
              <w:jc w:val="center"/>
            </w:pPr>
            <w:r>
              <w:rPr>
                <w:sz w:val="20"/>
              </w:rPr>
              <w:t xml:space="preserve">Наименование конструктивных решений (элементов), комплексов (видов) работ, оборудования &lt;1&gt;</w:t>
            </w:r>
          </w:p>
        </w:tc>
        <w:tc>
          <w:tcPr>
            <w:tcW w:w="770" w:type="dxa"/>
            <w:vMerge w:val="restart"/>
          </w:tcPr>
          <w:p>
            <w:pPr>
              <w:pStyle w:val="0"/>
              <w:jc w:val="center"/>
            </w:pPr>
            <w:r>
              <w:rPr>
                <w:sz w:val="20"/>
              </w:rPr>
              <w:t xml:space="preserve">Единица измерения</w:t>
            </w:r>
          </w:p>
        </w:tc>
        <w:tc>
          <w:tcPr>
            <w:gridSpan w:val="2"/>
            <w:tcW w:w="2205" w:type="dxa"/>
          </w:tcPr>
          <w:p>
            <w:pPr>
              <w:pStyle w:val="0"/>
              <w:jc w:val="center"/>
            </w:pPr>
            <w:r>
              <w:rPr>
                <w:sz w:val="20"/>
              </w:rPr>
              <w:t xml:space="preserve">Количество &lt;1&gt; (объем работ)</w:t>
            </w:r>
          </w:p>
        </w:tc>
        <w:tc>
          <w:tcPr>
            <w:gridSpan w:val="2"/>
            <w:tcW w:w="2547" w:type="dxa"/>
          </w:tcPr>
          <w:p>
            <w:pPr>
              <w:pStyle w:val="0"/>
              <w:jc w:val="center"/>
            </w:pPr>
            <w:r>
              <w:rPr>
                <w:sz w:val="20"/>
              </w:rPr>
              <w:t xml:space="preserve">Цена на единицу измерения, без НДС руб.</w:t>
            </w:r>
          </w:p>
        </w:tc>
        <w:tc>
          <w:tcPr>
            <w:gridSpan w:val="2"/>
            <w:tcW w:w="2328" w:type="dxa"/>
          </w:tcPr>
          <w:p>
            <w:pPr>
              <w:pStyle w:val="0"/>
              <w:jc w:val="center"/>
            </w:pPr>
            <w:r>
              <w:rPr>
                <w:sz w:val="20"/>
              </w:rPr>
              <w:t xml:space="preserve">Стоимость всего, руб. &lt;2&gt;</w:t>
            </w:r>
          </w:p>
        </w:tc>
        <w:tc>
          <w:tcPr>
            <w:tcW w:w="1054" w:type="dxa"/>
            <w:vMerge w:val="restart"/>
          </w:tcPr>
          <w:p>
            <w:pPr>
              <w:pStyle w:val="0"/>
              <w:jc w:val="center"/>
            </w:pPr>
            <w:r>
              <w:rPr>
                <w:sz w:val="20"/>
              </w:rPr>
              <w:t xml:space="preserve">Страна происхождения оборудования &lt;3&gt;</w:t>
            </w:r>
          </w:p>
        </w:tc>
      </w:tr>
      <w:tr>
        <w:tc>
          <w:tcPr>
            <w:vMerge w:val="continue"/>
          </w:tcPr>
          <w:p/>
        </w:tc>
        <w:tc>
          <w:tcPr>
            <w:vMerge w:val="continue"/>
          </w:tcPr>
          <w:p/>
        </w:tc>
        <w:tc>
          <w:tcPr>
            <w:vMerge w:val="continue"/>
          </w:tcPr>
          <w:p/>
        </w:tc>
        <w:tc>
          <w:tcPr>
            <w:tcW w:w="1003" w:type="dxa"/>
          </w:tcPr>
          <w:p>
            <w:pPr>
              <w:pStyle w:val="0"/>
              <w:jc w:val="center"/>
            </w:pPr>
            <w:r>
              <w:rPr>
                <w:sz w:val="20"/>
              </w:rPr>
              <w:t xml:space="preserve">Перво начальный</w:t>
            </w:r>
          </w:p>
        </w:tc>
        <w:tc>
          <w:tcPr>
            <w:tcW w:w="1202" w:type="dxa"/>
          </w:tcPr>
          <w:p>
            <w:pPr>
              <w:pStyle w:val="0"/>
              <w:jc w:val="center"/>
            </w:pPr>
            <w:r>
              <w:rPr>
                <w:sz w:val="20"/>
              </w:rPr>
              <w:t xml:space="preserve">С учетом корректировки</w:t>
            </w:r>
          </w:p>
        </w:tc>
        <w:tc>
          <w:tcPr>
            <w:tcW w:w="968" w:type="dxa"/>
          </w:tcPr>
          <w:p>
            <w:pPr>
              <w:pStyle w:val="0"/>
              <w:jc w:val="center"/>
            </w:pPr>
            <w:r>
              <w:rPr>
                <w:sz w:val="20"/>
              </w:rPr>
              <w:t xml:space="preserve">Первоначальный</w:t>
            </w:r>
          </w:p>
        </w:tc>
        <w:tc>
          <w:tcPr>
            <w:tcW w:w="1579" w:type="dxa"/>
          </w:tcPr>
          <w:p>
            <w:pPr>
              <w:pStyle w:val="0"/>
              <w:jc w:val="center"/>
            </w:pPr>
            <w:r>
              <w:rPr>
                <w:sz w:val="20"/>
              </w:rPr>
              <w:t xml:space="preserve">С учетом корректировки</w:t>
            </w:r>
          </w:p>
        </w:tc>
        <w:tc>
          <w:tcPr>
            <w:tcW w:w="1031" w:type="dxa"/>
          </w:tcPr>
          <w:p>
            <w:pPr>
              <w:pStyle w:val="0"/>
              <w:jc w:val="center"/>
            </w:pPr>
            <w:r>
              <w:rPr>
                <w:sz w:val="20"/>
              </w:rPr>
              <w:t xml:space="preserve">Первоначальный</w:t>
            </w:r>
          </w:p>
        </w:tc>
        <w:tc>
          <w:tcPr>
            <w:tcW w:w="1297" w:type="dxa"/>
          </w:tcPr>
          <w:p>
            <w:pPr>
              <w:pStyle w:val="0"/>
              <w:jc w:val="center"/>
            </w:pPr>
            <w:r>
              <w:rPr>
                <w:sz w:val="20"/>
              </w:rPr>
              <w:t xml:space="preserve">С учетом корректировки</w:t>
            </w:r>
          </w:p>
        </w:tc>
        <w:tc>
          <w:tcPr>
            <w:vMerge w:val="continue"/>
          </w:tcPr>
          <w:p/>
        </w:tc>
      </w:tr>
      <w:tr>
        <w:tc>
          <w:tcPr>
            <w:tcW w:w="619" w:type="dxa"/>
          </w:tcPr>
          <w:p>
            <w:pPr>
              <w:pStyle w:val="0"/>
              <w:jc w:val="center"/>
            </w:pPr>
            <w:r>
              <w:rPr>
                <w:sz w:val="20"/>
              </w:rPr>
              <w:t xml:space="preserve">1</w:t>
            </w:r>
          </w:p>
        </w:tc>
        <w:tc>
          <w:tcPr>
            <w:tcW w:w="2376" w:type="dxa"/>
          </w:tcPr>
          <w:p>
            <w:pPr>
              <w:pStyle w:val="0"/>
              <w:jc w:val="center"/>
            </w:pPr>
            <w:r>
              <w:rPr>
                <w:sz w:val="20"/>
              </w:rPr>
              <w:t xml:space="preserve">2</w:t>
            </w:r>
          </w:p>
        </w:tc>
        <w:tc>
          <w:tcPr>
            <w:tcW w:w="770" w:type="dxa"/>
          </w:tcPr>
          <w:p>
            <w:pPr>
              <w:pStyle w:val="0"/>
              <w:jc w:val="center"/>
            </w:pPr>
            <w:r>
              <w:rPr>
                <w:sz w:val="20"/>
              </w:rPr>
              <w:t xml:space="preserve">3</w:t>
            </w:r>
          </w:p>
        </w:tc>
        <w:tc>
          <w:tcPr>
            <w:tcW w:w="1003" w:type="dxa"/>
          </w:tcPr>
          <w:p>
            <w:pPr>
              <w:pStyle w:val="0"/>
              <w:jc w:val="center"/>
            </w:pPr>
            <w:r>
              <w:rPr>
                <w:sz w:val="20"/>
              </w:rPr>
              <w:t xml:space="preserve">4</w:t>
            </w:r>
          </w:p>
        </w:tc>
        <w:tc>
          <w:tcPr>
            <w:tcW w:w="1202" w:type="dxa"/>
          </w:tcPr>
          <w:p>
            <w:pPr>
              <w:pStyle w:val="0"/>
              <w:jc w:val="center"/>
            </w:pPr>
            <w:r>
              <w:rPr>
                <w:sz w:val="20"/>
              </w:rPr>
              <w:t xml:space="preserve">5</w:t>
            </w:r>
          </w:p>
        </w:tc>
        <w:tc>
          <w:tcPr>
            <w:tcW w:w="968" w:type="dxa"/>
          </w:tcPr>
          <w:p>
            <w:pPr>
              <w:pStyle w:val="0"/>
              <w:jc w:val="center"/>
            </w:pPr>
            <w:r>
              <w:rPr>
                <w:sz w:val="20"/>
              </w:rPr>
              <w:t xml:space="preserve">6</w:t>
            </w:r>
          </w:p>
        </w:tc>
        <w:tc>
          <w:tcPr>
            <w:tcW w:w="1579" w:type="dxa"/>
          </w:tcPr>
          <w:p>
            <w:pPr>
              <w:pStyle w:val="0"/>
              <w:jc w:val="center"/>
            </w:pPr>
            <w:r>
              <w:rPr>
                <w:sz w:val="20"/>
              </w:rPr>
              <w:t xml:space="preserve">7</w:t>
            </w:r>
          </w:p>
        </w:tc>
        <w:tc>
          <w:tcPr>
            <w:tcW w:w="1031" w:type="dxa"/>
          </w:tcPr>
          <w:p>
            <w:pPr>
              <w:pStyle w:val="0"/>
              <w:jc w:val="center"/>
            </w:pPr>
            <w:r>
              <w:rPr>
                <w:sz w:val="20"/>
              </w:rPr>
              <w:t xml:space="preserve">8</w:t>
            </w:r>
          </w:p>
        </w:tc>
        <w:tc>
          <w:tcPr>
            <w:tcW w:w="1297" w:type="dxa"/>
          </w:tcPr>
          <w:p>
            <w:pPr>
              <w:pStyle w:val="0"/>
              <w:jc w:val="center"/>
            </w:pPr>
            <w:r>
              <w:rPr>
                <w:sz w:val="20"/>
              </w:rPr>
              <w:t xml:space="preserve">9</w:t>
            </w:r>
          </w:p>
        </w:tc>
        <w:tc>
          <w:tcPr>
            <w:tcW w:w="1054" w:type="dxa"/>
          </w:tcPr>
          <w:p>
            <w:pPr>
              <w:pStyle w:val="0"/>
              <w:jc w:val="center"/>
            </w:pPr>
            <w:r>
              <w:rPr>
                <w:sz w:val="20"/>
              </w:rPr>
              <w:t xml:space="preserve">10</w:t>
            </w:r>
          </w:p>
        </w:tc>
      </w:tr>
      <w:tr>
        <w:tc>
          <w:tcPr>
            <w:tcW w:w="619" w:type="dxa"/>
          </w:tcPr>
          <w:p>
            <w:pPr>
              <w:pStyle w:val="0"/>
            </w:pPr>
            <w:r>
              <w:rPr>
                <w:sz w:val="20"/>
              </w:rPr>
            </w:r>
          </w:p>
        </w:tc>
        <w:tc>
          <w:tcPr>
            <w:tcW w:w="2376" w:type="dxa"/>
          </w:tcPr>
          <w:p>
            <w:pPr>
              <w:pStyle w:val="0"/>
            </w:pPr>
            <w:r>
              <w:rPr>
                <w:sz w:val="20"/>
              </w:rPr>
            </w:r>
          </w:p>
        </w:tc>
        <w:tc>
          <w:tcPr>
            <w:tcW w:w="770" w:type="dxa"/>
          </w:tcPr>
          <w:p>
            <w:pPr>
              <w:pStyle w:val="0"/>
            </w:pPr>
            <w:r>
              <w:rPr>
                <w:sz w:val="20"/>
              </w:rPr>
            </w:r>
          </w:p>
        </w:tc>
        <w:tc>
          <w:tcPr>
            <w:tcW w:w="1003" w:type="dxa"/>
          </w:tcPr>
          <w:p>
            <w:pPr>
              <w:pStyle w:val="0"/>
            </w:pPr>
            <w:r>
              <w:rPr>
                <w:sz w:val="20"/>
              </w:rPr>
            </w:r>
          </w:p>
        </w:tc>
        <w:tc>
          <w:tcPr>
            <w:tcW w:w="1202" w:type="dxa"/>
          </w:tcPr>
          <w:p>
            <w:pPr>
              <w:pStyle w:val="0"/>
            </w:pPr>
            <w:r>
              <w:rPr>
                <w:sz w:val="20"/>
              </w:rPr>
            </w:r>
          </w:p>
        </w:tc>
        <w:tc>
          <w:tcPr>
            <w:tcW w:w="968" w:type="dxa"/>
          </w:tcPr>
          <w:p>
            <w:pPr>
              <w:pStyle w:val="0"/>
            </w:pPr>
            <w:r>
              <w:rPr>
                <w:sz w:val="20"/>
              </w:rPr>
            </w:r>
          </w:p>
        </w:tc>
        <w:tc>
          <w:tcPr>
            <w:tcW w:w="1579" w:type="dxa"/>
          </w:tcPr>
          <w:p>
            <w:pPr>
              <w:pStyle w:val="0"/>
            </w:pPr>
            <w:r>
              <w:rPr>
                <w:sz w:val="20"/>
              </w:rPr>
            </w:r>
          </w:p>
        </w:tc>
        <w:tc>
          <w:tcPr>
            <w:tcW w:w="1031" w:type="dxa"/>
          </w:tcPr>
          <w:p>
            <w:pPr>
              <w:pStyle w:val="0"/>
            </w:pPr>
            <w:r>
              <w:rPr>
                <w:sz w:val="20"/>
              </w:rPr>
            </w:r>
          </w:p>
        </w:tc>
        <w:tc>
          <w:tcPr>
            <w:tcW w:w="1297" w:type="dxa"/>
          </w:tcPr>
          <w:p>
            <w:pPr>
              <w:pStyle w:val="0"/>
            </w:pPr>
            <w:r>
              <w:rPr>
                <w:sz w:val="20"/>
              </w:rPr>
            </w:r>
          </w:p>
        </w:tc>
        <w:tc>
          <w:tcPr>
            <w:tcW w:w="1054" w:type="dxa"/>
          </w:tcPr>
          <w:p>
            <w:pPr>
              <w:pStyle w:val="0"/>
            </w:pPr>
            <w:r>
              <w:rPr>
                <w:sz w:val="20"/>
              </w:rPr>
            </w:r>
          </w:p>
        </w:tc>
      </w:tr>
      <w:tr>
        <w:tc>
          <w:tcPr>
            <w:tcW w:w="619" w:type="dxa"/>
          </w:tcPr>
          <w:p>
            <w:pPr>
              <w:pStyle w:val="0"/>
            </w:pPr>
            <w:r>
              <w:rPr>
                <w:sz w:val="20"/>
              </w:rPr>
            </w:r>
          </w:p>
        </w:tc>
        <w:tc>
          <w:tcPr>
            <w:tcW w:w="2376" w:type="dxa"/>
          </w:tcPr>
          <w:p>
            <w:pPr>
              <w:pStyle w:val="0"/>
            </w:pPr>
            <w:r>
              <w:rPr>
                <w:sz w:val="20"/>
              </w:rPr>
            </w:r>
          </w:p>
        </w:tc>
        <w:tc>
          <w:tcPr>
            <w:tcW w:w="770" w:type="dxa"/>
          </w:tcPr>
          <w:p>
            <w:pPr>
              <w:pStyle w:val="0"/>
            </w:pPr>
            <w:r>
              <w:rPr>
                <w:sz w:val="20"/>
              </w:rPr>
            </w:r>
          </w:p>
        </w:tc>
        <w:tc>
          <w:tcPr>
            <w:tcW w:w="1003" w:type="dxa"/>
          </w:tcPr>
          <w:p>
            <w:pPr>
              <w:pStyle w:val="0"/>
            </w:pPr>
            <w:r>
              <w:rPr>
                <w:sz w:val="20"/>
              </w:rPr>
            </w:r>
          </w:p>
        </w:tc>
        <w:tc>
          <w:tcPr>
            <w:tcW w:w="1202" w:type="dxa"/>
          </w:tcPr>
          <w:p>
            <w:pPr>
              <w:pStyle w:val="0"/>
            </w:pPr>
            <w:r>
              <w:rPr>
                <w:sz w:val="20"/>
              </w:rPr>
            </w:r>
          </w:p>
        </w:tc>
        <w:tc>
          <w:tcPr>
            <w:tcW w:w="968" w:type="dxa"/>
          </w:tcPr>
          <w:p>
            <w:pPr>
              <w:pStyle w:val="0"/>
            </w:pPr>
            <w:r>
              <w:rPr>
                <w:sz w:val="20"/>
              </w:rPr>
            </w:r>
          </w:p>
        </w:tc>
        <w:tc>
          <w:tcPr>
            <w:tcW w:w="1579" w:type="dxa"/>
          </w:tcPr>
          <w:p>
            <w:pPr>
              <w:pStyle w:val="0"/>
            </w:pPr>
            <w:r>
              <w:rPr>
                <w:sz w:val="20"/>
              </w:rPr>
            </w:r>
          </w:p>
        </w:tc>
        <w:tc>
          <w:tcPr>
            <w:tcW w:w="1031" w:type="dxa"/>
          </w:tcPr>
          <w:p>
            <w:pPr>
              <w:pStyle w:val="0"/>
            </w:pPr>
            <w:r>
              <w:rPr>
                <w:sz w:val="20"/>
              </w:rPr>
            </w:r>
          </w:p>
        </w:tc>
        <w:tc>
          <w:tcPr>
            <w:tcW w:w="1297" w:type="dxa"/>
          </w:tcPr>
          <w:p>
            <w:pPr>
              <w:pStyle w:val="0"/>
            </w:pPr>
            <w:r>
              <w:rPr>
                <w:sz w:val="20"/>
              </w:rPr>
            </w:r>
          </w:p>
        </w:tc>
        <w:tc>
          <w:tcPr>
            <w:tcW w:w="1054" w:type="dxa"/>
          </w:tcPr>
          <w:p>
            <w:pPr>
              <w:pStyle w:val="0"/>
            </w:pPr>
            <w:r>
              <w:rPr>
                <w:sz w:val="20"/>
              </w:rPr>
            </w:r>
          </w:p>
        </w:tc>
      </w:tr>
      <w:tr>
        <w:tc>
          <w:tcPr>
            <w:tcW w:w="619" w:type="dxa"/>
          </w:tcPr>
          <w:p>
            <w:pPr>
              <w:pStyle w:val="0"/>
            </w:pPr>
            <w:r>
              <w:rPr>
                <w:sz w:val="20"/>
              </w:rPr>
            </w:r>
          </w:p>
        </w:tc>
        <w:tc>
          <w:tcPr>
            <w:tcW w:w="2376" w:type="dxa"/>
            <w:vAlign w:val="bottom"/>
          </w:tcPr>
          <w:p>
            <w:pPr>
              <w:pStyle w:val="0"/>
            </w:pPr>
            <w:r>
              <w:rPr>
                <w:sz w:val="20"/>
              </w:rPr>
              <w:t xml:space="preserve">Итого:</w:t>
            </w:r>
          </w:p>
        </w:tc>
        <w:tc>
          <w:tcPr>
            <w:tcW w:w="770" w:type="dxa"/>
          </w:tcPr>
          <w:p>
            <w:pPr>
              <w:pStyle w:val="0"/>
            </w:pPr>
            <w:r>
              <w:rPr>
                <w:sz w:val="20"/>
              </w:rPr>
            </w:r>
          </w:p>
        </w:tc>
        <w:tc>
          <w:tcPr>
            <w:tcW w:w="1003" w:type="dxa"/>
          </w:tcPr>
          <w:p>
            <w:pPr>
              <w:pStyle w:val="0"/>
            </w:pPr>
            <w:r>
              <w:rPr>
                <w:sz w:val="20"/>
              </w:rPr>
            </w:r>
          </w:p>
        </w:tc>
        <w:tc>
          <w:tcPr>
            <w:tcW w:w="1202" w:type="dxa"/>
          </w:tcPr>
          <w:p>
            <w:pPr>
              <w:pStyle w:val="0"/>
            </w:pPr>
            <w:r>
              <w:rPr>
                <w:sz w:val="20"/>
              </w:rPr>
            </w:r>
          </w:p>
        </w:tc>
        <w:tc>
          <w:tcPr>
            <w:tcW w:w="968" w:type="dxa"/>
          </w:tcPr>
          <w:p>
            <w:pPr>
              <w:pStyle w:val="0"/>
            </w:pPr>
            <w:r>
              <w:rPr>
                <w:sz w:val="20"/>
              </w:rPr>
            </w:r>
          </w:p>
        </w:tc>
        <w:tc>
          <w:tcPr>
            <w:tcW w:w="1579" w:type="dxa"/>
          </w:tcPr>
          <w:p>
            <w:pPr>
              <w:pStyle w:val="0"/>
            </w:pPr>
            <w:r>
              <w:rPr>
                <w:sz w:val="20"/>
              </w:rPr>
            </w:r>
          </w:p>
        </w:tc>
        <w:tc>
          <w:tcPr>
            <w:tcW w:w="1031" w:type="dxa"/>
          </w:tcPr>
          <w:p>
            <w:pPr>
              <w:pStyle w:val="0"/>
            </w:pPr>
            <w:r>
              <w:rPr>
                <w:sz w:val="20"/>
              </w:rPr>
            </w:r>
          </w:p>
        </w:tc>
        <w:tc>
          <w:tcPr>
            <w:tcW w:w="1297" w:type="dxa"/>
          </w:tcPr>
          <w:p>
            <w:pPr>
              <w:pStyle w:val="0"/>
            </w:pPr>
            <w:r>
              <w:rPr>
                <w:sz w:val="20"/>
              </w:rPr>
            </w:r>
          </w:p>
        </w:tc>
        <w:tc>
          <w:tcPr>
            <w:tcW w:w="1054" w:type="dxa"/>
          </w:tcPr>
          <w:p>
            <w:pPr>
              <w:pStyle w:val="0"/>
            </w:pPr>
            <w:r>
              <w:rPr>
                <w:sz w:val="20"/>
              </w:rPr>
            </w:r>
          </w:p>
        </w:tc>
      </w:tr>
      <w:tr>
        <w:tc>
          <w:tcPr>
            <w:tcW w:w="619" w:type="dxa"/>
          </w:tcPr>
          <w:p>
            <w:pPr>
              <w:pStyle w:val="0"/>
            </w:pPr>
            <w:r>
              <w:rPr>
                <w:sz w:val="20"/>
              </w:rPr>
            </w:r>
          </w:p>
        </w:tc>
        <w:tc>
          <w:tcPr>
            <w:tcW w:w="2376" w:type="dxa"/>
            <w:vAlign w:val="bottom"/>
          </w:tcPr>
          <w:p>
            <w:pPr>
              <w:pStyle w:val="0"/>
            </w:pPr>
            <w:r>
              <w:rPr>
                <w:sz w:val="20"/>
              </w:rPr>
              <w:t xml:space="preserve">Сумма НДС (ставка &lt;N&gt;%) по позициям: &lt;4&gt;</w:t>
            </w:r>
          </w:p>
        </w:tc>
        <w:tc>
          <w:tcPr>
            <w:tcW w:w="770" w:type="dxa"/>
          </w:tcPr>
          <w:p>
            <w:pPr>
              <w:pStyle w:val="0"/>
            </w:pPr>
            <w:r>
              <w:rPr>
                <w:sz w:val="20"/>
              </w:rPr>
            </w:r>
          </w:p>
        </w:tc>
        <w:tc>
          <w:tcPr>
            <w:tcW w:w="1003" w:type="dxa"/>
          </w:tcPr>
          <w:p>
            <w:pPr>
              <w:pStyle w:val="0"/>
            </w:pPr>
            <w:r>
              <w:rPr>
                <w:sz w:val="20"/>
              </w:rPr>
            </w:r>
          </w:p>
        </w:tc>
        <w:tc>
          <w:tcPr>
            <w:tcW w:w="1202" w:type="dxa"/>
          </w:tcPr>
          <w:p>
            <w:pPr>
              <w:pStyle w:val="0"/>
            </w:pPr>
            <w:r>
              <w:rPr>
                <w:sz w:val="20"/>
              </w:rPr>
            </w:r>
          </w:p>
        </w:tc>
        <w:tc>
          <w:tcPr>
            <w:tcW w:w="968" w:type="dxa"/>
          </w:tcPr>
          <w:p>
            <w:pPr>
              <w:pStyle w:val="0"/>
            </w:pPr>
            <w:r>
              <w:rPr>
                <w:sz w:val="20"/>
              </w:rPr>
            </w:r>
          </w:p>
        </w:tc>
        <w:tc>
          <w:tcPr>
            <w:tcW w:w="1579" w:type="dxa"/>
          </w:tcPr>
          <w:p>
            <w:pPr>
              <w:pStyle w:val="0"/>
            </w:pPr>
            <w:r>
              <w:rPr>
                <w:sz w:val="20"/>
              </w:rPr>
            </w:r>
          </w:p>
        </w:tc>
        <w:tc>
          <w:tcPr>
            <w:tcW w:w="1031" w:type="dxa"/>
          </w:tcPr>
          <w:p>
            <w:pPr>
              <w:pStyle w:val="0"/>
            </w:pPr>
            <w:r>
              <w:rPr>
                <w:sz w:val="20"/>
              </w:rPr>
            </w:r>
          </w:p>
        </w:tc>
        <w:tc>
          <w:tcPr>
            <w:tcW w:w="1297" w:type="dxa"/>
          </w:tcPr>
          <w:p>
            <w:pPr>
              <w:pStyle w:val="0"/>
            </w:pPr>
            <w:r>
              <w:rPr>
                <w:sz w:val="20"/>
              </w:rPr>
            </w:r>
          </w:p>
        </w:tc>
        <w:tc>
          <w:tcPr>
            <w:tcW w:w="1054" w:type="dxa"/>
          </w:tcPr>
          <w:p>
            <w:pPr>
              <w:pStyle w:val="0"/>
            </w:pPr>
            <w:r>
              <w:rPr>
                <w:sz w:val="20"/>
              </w:rPr>
            </w:r>
          </w:p>
        </w:tc>
      </w:tr>
      <w:tr>
        <w:tc>
          <w:tcPr>
            <w:tcW w:w="619" w:type="dxa"/>
          </w:tcPr>
          <w:p>
            <w:pPr>
              <w:pStyle w:val="0"/>
            </w:pPr>
            <w:r>
              <w:rPr>
                <w:sz w:val="20"/>
              </w:rPr>
            </w:r>
          </w:p>
        </w:tc>
        <w:tc>
          <w:tcPr>
            <w:tcW w:w="2376" w:type="dxa"/>
            <w:vAlign w:val="bottom"/>
          </w:tcPr>
          <w:p>
            <w:pPr>
              <w:pStyle w:val="0"/>
            </w:pPr>
            <w:r>
              <w:rPr>
                <w:sz w:val="20"/>
              </w:rPr>
              <w:t xml:space="preserve">Всего с НДС:</w:t>
            </w:r>
          </w:p>
        </w:tc>
        <w:tc>
          <w:tcPr>
            <w:tcW w:w="770" w:type="dxa"/>
          </w:tcPr>
          <w:p>
            <w:pPr>
              <w:pStyle w:val="0"/>
            </w:pPr>
            <w:r>
              <w:rPr>
                <w:sz w:val="20"/>
              </w:rPr>
            </w:r>
          </w:p>
        </w:tc>
        <w:tc>
          <w:tcPr>
            <w:tcW w:w="1003" w:type="dxa"/>
          </w:tcPr>
          <w:p>
            <w:pPr>
              <w:pStyle w:val="0"/>
            </w:pPr>
            <w:r>
              <w:rPr>
                <w:sz w:val="20"/>
              </w:rPr>
            </w:r>
          </w:p>
        </w:tc>
        <w:tc>
          <w:tcPr>
            <w:tcW w:w="1202" w:type="dxa"/>
          </w:tcPr>
          <w:p>
            <w:pPr>
              <w:pStyle w:val="0"/>
            </w:pPr>
            <w:r>
              <w:rPr>
                <w:sz w:val="20"/>
              </w:rPr>
            </w:r>
          </w:p>
        </w:tc>
        <w:tc>
          <w:tcPr>
            <w:tcW w:w="968" w:type="dxa"/>
          </w:tcPr>
          <w:p>
            <w:pPr>
              <w:pStyle w:val="0"/>
            </w:pPr>
            <w:r>
              <w:rPr>
                <w:sz w:val="20"/>
              </w:rPr>
            </w:r>
          </w:p>
        </w:tc>
        <w:tc>
          <w:tcPr>
            <w:tcW w:w="1579" w:type="dxa"/>
          </w:tcPr>
          <w:p>
            <w:pPr>
              <w:pStyle w:val="0"/>
            </w:pPr>
            <w:r>
              <w:rPr>
                <w:sz w:val="20"/>
              </w:rPr>
            </w:r>
          </w:p>
        </w:tc>
        <w:tc>
          <w:tcPr>
            <w:tcW w:w="1031" w:type="dxa"/>
          </w:tcPr>
          <w:p>
            <w:pPr>
              <w:pStyle w:val="0"/>
            </w:pPr>
            <w:r>
              <w:rPr>
                <w:sz w:val="20"/>
              </w:rPr>
            </w:r>
          </w:p>
        </w:tc>
        <w:tc>
          <w:tcPr>
            <w:tcW w:w="1297" w:type="dxa"/>
          </w:tcPr>
          <w:p>
            <w:pPr>
              <w:pStyle w:val="0"/>
            </w:pPr>
            <w:r>
              <w:rPr>
                <w:sz w:val="20"/>
              </w:rPr>
            </w:r>
          </w:p>
        </w:tc>
        <w:tc>
          <w:tcPr>
            <w:tcW w:w="1054" w:type="dxa"/>
          </w:tcPr>
          <w:p>
            <w:pPr>
              <w:pStyle w:val="0"/>
            </w:pPr>
            <w:r>
              <w:rPr>
                <w:sz w:val="20"/>
              </w:rPr>
            </w:r>
          </w:p>
        </w:tc>
      </w:tr>
    </w:tbl>
    <w:p>
      <w:pPr>
        <w:sectPr>
          <w:headerReference w:type="default" r:id="rId141"/>
          <w:headerReference w:type="first" r:id="rId141"/>
          <w:footerReference w:type="default" r:id="rId142"/>
          <w:footerReference w:type="first" r:id="rId142"/>
          <w:pgSz w:w="16838" w:h="11906" w:orient="landscape"/>
          <w:pgMar w:top="1133" w:right="1440" w:bottom="566" w:left="1440" w:header="0" w:footer="0" w:gutter="0"/>
          <w:titlePg/>
        </w:sectPr>
      </w:pPr>
    </w:p>
    <w:p>
      <w:pPr>
        <w:pStyle w:val="0"/>
        <w:jc w:val="both"/>
      </w:pPr>
      <w:r>
        <w:rPr>
          <w:sz w:val="20"/>
        </w:rPr>
      </w:r>
    </w:p>
    <w:tbl>
      <w:tblPr>
        <w:tblInd w:w="0" w:type="dxa"/>
        <w:tblLayout w:type="fixed"/>
        <w:tblCellMar>
          <w:top w:w="102" w:type="dxa"/>
          <w:left w:w="62" w:type="dxa"/>
          <w:bottom w:w="102" w:type="dxa"/>
          <w:right w:w="62" w:type="dxa"/>
        </w:tblCellMar>
      </w:tblPr>
      <w:tblGrid>
        <w:gridCol w:w="1440"/>
        <w:gridCol w:w="340"/>
        <w:gridCol w:w="7247"/>
      </w:tblGrid>
      <w:tr>
        <w:tc>
          <w:tcPr>
            <w:tcW w:w="1440" w:type="dxa"/>
            <w:tcBorders>
              <w:top w:val="nil"/>
              <w:left w:val="nil"/>
              <w:bottom w:val="nil"/>
              <w:right w:val="nil"/>
            </w:tcBorders>
          </w:tcPr>
          <w:p>
            <w:pPr>
              <w:pStyle w:val="0"/>
            </w:pPr>
            <w:r>
              <w:rPr>
                <w:sz w:val="20"/>
              </w:rPr>
              <w:t xml:space="preserve">Заказчик</w:t>
            </w:r>
          </w:p>
        </w:tc>
        <w:tc>
          <w:tcPr>
            <w:tcW w:w="340" w:type="dxa"/>
            <w:tcBorders>
              <w:top w:val="nil"/>
              <w:left w:val="nil"/>
              <w:bottom w:val="nil"/>
              <w:right w:val="nil"/>
            </w:tcBorders>
          </w:tcPr>
          <w:p>
            <w:pPr>
              <w:pStyle w:val="0"/>
            </w:pPr>
            <w:r>
              <w:rPr>
                <w:sz w:val="20"/>
              </w:rPr>
            </w:r>
          </w:p>
        </w:tc>
        <w:tc>
          <w:tcPr>
            <w:tcW w:w="7247" w:type="dxa"/>
            <w:tcBorders>
              <w:top w:val="nil"/>
              <w:left w:val="nil"/>
              <w:bottom w:val="single" w:sz="4"/>
              <w:right w:val="nil"/>
            </w:tcBorders>
          </w:tcPr>
          <w:p>
            <w:pPr>
              <w:pStyle w:val="0"/>
            </w:pPr>
            <w:r>
              <w:rPr>
                <w:sz w:val="20"/>
              </w:rPr>
            </w:r>
          </w:p>
        </w:tc>
      </w:tr>
      <w:tr>
        <w:tc>
          <w:tcPr>
            <w:tcW w:w="1440"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7247" w:type="dxa"/>
            <w:tcBorders>
              <w:top w:val="single" w:sz="4"/>
              <w:left w:val="nil"/>
              <w:bottom w:val="nil"/>
              <w:right w:val="nil"/>
            </w:tcBorders>
          </w:tcPr>
          <w:p>
            <w:pPr>
              <w:pStyle w:val="0"/>
              <w:jc w:val="center"/>
            </w:pPr>
            <w:r>
              <w:rPr>
                <w:sz w:val="20"/>
              </w:rPr>
              <w:t xml:space="preserve">(должность, подпись, инициалы, фамилия)</w:t>
            </w:r>
          </w:p>
        </w:tc>
      </w:tr>
      <w:tr>
        <w:tc>
          <w:tcPr>
            <w:tcW w:w="1440" w:type="dxa"/>
            <w:tcBorders>
              <w:top w:val="nil"/>
              <w:left w:val="nil"/>
              <w:bottom w:val="nil"/>
              <w:right w:val="nil"/>
            </w:tcBorders>
          </w:tcPr>
          <w:p>
            <w:pPr>
              <w:pStyle w:val="0"/>
            </w:pPr>
            <w:r>
              <w:rPr>
                <w:sz w:val="20"/>
              </w:rPr>
              <w:t xml:space="preserve">Подрядчик</w:t>
            </w:r>
          </w:p>
        </w:tc>
        <w:tc>
          <w:tcPr>
            <w:tcW w:w="340" w:type="dxa"/>
            <w:tcBorders>
              <w:top w:val="nil"/>
              <w:left w:val="nil"/>
              <w:bottom w:val="nil"/>
              <w:right w:val="nil"/>
            </w:tcBorders>
          </w:tcPr>
          <w:p>
            <w:pPr>
              <w:pStyle w:val="0"/>
            </w:pPr>
            <w:r>
              <w:rPr>
                <w:sz w:val="20"/>
              </w:rPr>
            </w:r>
          </w:p>
        </w:tc>
        <w:tc>
          <w:tcPr>
            <w:tcW w:w="7247" w:type="dxa"/>
            <w:tcBorders>
              <w:top w:val="nil"/>
              <w:left w:val="nil"/>
              <w:bottom w:val="single" w:sz="4"/>
              <w:right w:val="nil"/>
            </w:tcBorders>
          </w:tcPr>
          <w:p>
            <w:pPr>
              <w:pStyle w:val="0"/>
            </w:pPr>
            <w:r>
              <w:rPr>
                <w:sz w:val="20"/>
              </w:rPr>
            </w:r>
          </w:p>
        </w:tc>
      </w:tr>
      <w:tr>
        <w:tc>
          <w:tcPr>
            <w:tcW w:w="1440"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7247" w:type="dxa"/>
            <w:tcBorders>
              <w:top w:val="single" w:sz="4"/>
              <w:left w:val="nil"/>
              <w:bottom w:val="nil"/>
              <w:right w:val="nil"/>
            </w:tcBorders>
          </w:tcPr>
          <w:p>
            <w:pPr>
              <w:pStyle w:val="0"/>
              <w:jc w:val="center"/>
            </w:pPr>
            <w:r>
              <w:rPr>
                <w:sz w:val="20"/>
              </w:rPr>
              <w:t xml:space="preserve">(должность, подпись, инициалы, фамилия)</w:t>
            </w:r>
          </w:p>
        </w:tc>
      </w:tr>
    </w:tbl>
    <w:p>
      <w:pPr>
        <w:pStyle w:val="0"/>
        <w:jc w:val="both"/>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&lt;1&gt; Указывается, в случае выделения оборудования отдельной строкой, в соответствии с подпунктом "б" пункта 31 Порядка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в сфере градостроительной деятельности (за исключением территориального планирования), утвержденного Приказом Министерства строительства и жилищно-коммунального хозяйства Российской Федерации от 23 декабря 2019 г. N 841/пр (зарегистрирован Министерством юстиции Российской Федерации 3 февраля 2020 г., регистрационный N 57401) с изменениями, внесенными приказами Министерства строительства и жилищно-коммунального хозяйства Российской Федерации от 21 июля 2021 г. N 500/пр (зарегистрирован Министерством юстиции Российской Федерации 13 августа 2021 г., регистрационный N 64642), от 7 октября 2021 г. N 728/пр (зарегистрирован Министерством юстиции Российской Федерации 2 декабря 2021 г., регистрационный N 66180), от 25 февраля 2022 г. N 124/пр (зарегистрирован Министерством юстиции Российской Федерации 27 апреля 2022 г., регистрационный N 68345).</w:t>
      </w:r>
    </w:p>
    <w:p>
      <w:pPr>
        <w:pStyle w:val="0"/>
        <w:spacing w:before="200" w:line-rule="auto"/>
        <w:ind w:firstLine="540"/>
        <w:jc w:val="both"/>
      </w:pPr>
      <w:r>
        <w:rPr>
          <w:sz w:val="20"/>
        </w:rPr>
        <w:t xml:space="preserve">&lt;2&gt; Указывается (в рублях) стоимость всего, определенная как произведение значений граф 4 и 5 сметы контракта. В отношении оборудования указывается стоимость без НДС и стоимость с НДС в формате "стоимость без НДС (стоимость с НДС)".</w:t>
      </w:r>
    </w:p>
    <w:p>
      <w:pPr>
        <w:pStyle w:val="0"/>
        <w:spacing w:before="200" w:line-rule="auto"/>
        <w:ind w:firstLine="540"/>
        <w:jc w:val="both"/>
      </w:pPr>
      <w:r>
        <w:rPr>
          <w:sz w:val="20"/>
        </w:rPr>
        <w:t xml:space="preserve">&lt;3&gt; Указывается в отношении оборудования, подлежащего принятию заказчиком к бухгалтерскому учету в качестве объектов основных средств.</w:t>
      </w:r>
    </w:p>
    <w:p>
      <w:pPr>
        <w:pStyle w:val="0"/>
        <w:spacing w:before="200" w:line-rule="auto"/>
        <w:ind w:firstLine="540"/>
        <w:jc w:val="both"/>
      </w:pPr>
      <w:r>
        <w:rPr>
          <w:sz w:val="20"/>
        </w:rPr>
        <w:t xml:space="preserve">&lt;4&gt; Указывается отдельно для позиций сметы контракта, для которых НДС имеет различные значения.".</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Минстроя России от 14.06.2022 N 484/пр</w:t>
            <w:br/>
            <w:t>"О внесении изменений в приказ Министерства строительства и жилищно-коммун...</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31.10.2022</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Приказ Минстроя России от 14.06.2022 N 484/пр</w:t>
            <w:br/>
            <w:t>"О внесении изменений в приказ Министерства строительства и жилищно-коммун...</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31.10.2022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7F14BE66E19D5EC70E180B6359E5FF7FFD75DBBD23E4C0A88C6BCD8A426F8FD262D679F18E78870BA66ABE6425C4DBEC9EB7964E1838cAi6N" TargetMode = "External"/>
	<Relationship Id="rId8" Type="http://schemas.openxmlformats.org/officeDocument/2006/relationships/hyperlink" Target="consultantplus://offline/ref=7F14BE66E19D5EC70E180B6359E5FF7FFD75D2BC22E1C0A88C6BCD8A426F8FD262D679F88B73D451B66EF73229D9DBF281B5884Ec1iAN" TargetMode = "External"/>
	<Relationship Id="rId9" Type="http://schemas.openxmlformats.org/officeDocument/2006/relationships/hyperlink" Target="consultantplus://offline/ref=7F14BE66E19D5EC70E180B6359E5FF7FFD76DFBC20E4C0A88C6BCD8A426F8FD270D621FD89799E01F225F8312AcCi5N" TargetMode = "External"/>
	<Relationship Id="rId10" Type="http://schemas.openxmlformats.org/officeDocument/2006/relationships/hyperlink" Target="consultantplus://offline/ref=7F14BE66E19D5EC70E180B6359E5FF7FFD76DFBC20E4C0A88C6BCD8A426F8FD262D679F18A788001F230AE606C92D7F19EA9894C0638A4F0cBi5N" TargetMode = "External"/>
	<Relationship Id="rId11" Type="http://schemas.openxmlformats.org/officeDocument/2006/relationships/hyperlink" Target="consultantplus://offline/ref=7F14BE66E19D5EC70E180B6359E5FF7FFD75DBBD23E4C0A88C6BCD8A426F8FD262D679F18A798300FB30AE606C92D7F19EA9894C0638A4F0cBi5N" TargetMode = "External"/>
	<Relationship Id="rId12" Type="http://schemas.openxmlformats.org/officeDocument/2006/relationships/hyperlink" Target="consultantplus://offline/ref=7F14BE66E19D5EC70E180B6359E5FF7FFD76DFBC20E4C0A88C6BCD8A426F8FD262D679F18A788001F130AE606C92D7F19EA9894C0638A4F0cBi5N" TargetMode = "External"/>
	<Relationship Id="rId13" Type="http://schemas.openxmlformats.org/officeDocument/2006/relationships/hyperlink" Target="consultantplus://offline/ref=7F14BE66E19D5EC70E180B6359E5FF7FFD76DFBC20E4C0A88C6BCD8A426F8FD262D679F18A788001F730AE606C92D7F19EA9894C0638A4F0cBi5N" TargetMode = "External"/>
	<Relationship Id="rId14" Type="http://schemas.openxmlformats.org/officeDocument/2006/relationships/hyperlink" Target="consultantplus://offline/ref=7F14BE66E19D5EC70E180B6359E5FF7FFD76DFBC20E4C0A88C6BCD8A426F8FD262D679F18A788001F730AE606C92D7F19EA9894C0638A4F0cBi5N" TargetMode = "External"/>
	<Relationship Id="rId15" Type="http://schemas.openxmlformats.org/officeDocument/2006/relationships/hyperlink" Target="consultantplus://offline/ref=7F14BE66E19D5EC70E180B6359E5FF7FFD75DBBD23E4C0A88C6BCD8A426F8FD262D679F18A788102F130AE606C92D7F19EA9894C0638A4F0cBi5N" TargetMode = "External"/>
	<Relationship Id="rId16" Type="http://schemas.openxmlformats.org/officeDocument/2006/relationships/hyperlink" Target="consultantplus://offline/ref=7F14BE66E19D5EC70E180B6359E5FF7FFD75DBBD23E4C0A88C6BCD8A426F8FD262D679F18A7F850BA66ABE6425C4DBEC9EB7964E1838cAi6N" TargetMode = "External"/>
	<Relationship Id="rId17" Type="http://schemas.openxmlformats.org/officeDocument/2006/relationships/hyperlink" Target="consultantplus://offline/ref=7F14BE66E19D5EC70E180B6359E5FF7FFD75DBBD23E4C0A88C6BCD8A426F8FD262D679F28D7F8B54A37FAF3C2BC6C4F39FA98A4C1Ac3i8N" TargetMode = "External"/>
	<Relationship Id="rId18" Type="http://schemas.openxmlformats.org/officeDocument/2006/relationships/hyperlink" Target="consultantplus://offline/ref=7F14BE66E19D5EC70E180B6359E5FF7FFD75DBBD23E4C0A88C6BCD8A426F8FD262D679F18B79860BA66ABE6425C4DBEC9EB7964E1838cAi6N" TargetMode = "External"/>
	<Relationship Id="rId19" Type="http://schemas.openxmlformats.org/officeDocument/2006/relationships/hyperlink" Target="consultantplus://offline/ref=7F14BE66E19D5EC70E180B6359E5FF7FFD76DFBC20E4C0A88C6BCD8A426F8FD262D679F18A788002F630AE606C92D7F19EA9894C0638A4F0cBi5N" TargetMode = "External"/>
	<Relationship Id="rId20" Type="http://schemas.openxmlformats.org/officeDocument/2006/relationships/hyperlink" Target="consultantplus://offline/ref=7F14BE66E19D5EC70E180B6359E5FF7FFD76DFBC20E4C0A88C6BCD8A426F8FD262D679F18A788002F730AE606C92D7F19EA9894C0638A4F0cBi5N" TargetMode = "External"/>
	<Relationship Id="rId21" Type="http://schemas.openxmlformats.org/officeDocument/2006/relationships/hyperlink" Target="consultantplus://offline/ref=7F14BE66E19D5EC70E180B6359E5FF7FFD75DBBD23E4C0A88C6BCD8A426F8FD270D621FD89799E01F225F8312AcCi5N" TargetMode = "External"/>
	<Relationship Id="rId22" Type="http://schemas.openxmlformats.org/officeDocument/2006/relationships/hyperlink" Target="consultantplus://offline/ref=7F14BE66E19D5EC70E180B6359E5FF7FFD76DFBC20E4C0A88C6BCD8A426F8FD262D679F18A788002F530AE606C92D7F19EA9894C0638A4F0cBi5N" TargetMode = "External"/>
	<Relationship Id="rId23" Type="http://schemas.openxmlformats.org/officeDocument/2006/relationships/hyperlink" Target="consultantplus://offline/ref=7F14BE66E19D5EC70E180B6359E5FF7FFD75DBBD23E4C0A88C6BCD8A426F8FD262D679F18B7F810BA66ABE6425C4DBEC9EB7964E1838cAi6N" TargetMode = "External"/>
	<Relationship Id="rId24" Type="http://schemas.openxmlformats.org/officeDocument/2006/relationships/hyperlink" Target="consultantplus://offline/ref=7F14BE66E19D5EC70E180B6359E5FF7FFD76DFBC20E4C0A88C6BCD8A426F8FD262D679F18A788002FA30AE606C92D7F19EA9894C0638A4F0cBi5N" TargetMode = "External"/>
	<Relationship Id="rId25" Type="http://schemas.openxmlformats.org/officeDocument/2006/relationships/hyperlink" Target="consultantplus://offline/ref=7F14BE66E19D5EC70E180B6359E5FF7FFD76DFB025E1C0A88C6BCD8A426F8FD262D679F58A7E8B54A37FAF3C2BC6C4F39FA98A4C1Ac3i8N" TargetMode = "External"/>
	<Relationship Id="rId26" Type="http://schemas.openxmlformats.org/officeDocument/2006/relationships/hyperlink" Target="consultantplus://offline/ref=7F14BE66E19D5EC70E180B6359E5FF7FFD77DDB724E9C0A88C6BCD8A426F8FD262D679F3837D870BA66ABE6425C4DBEC9EB7964E1838cAi6N" TargetMode = "External"/>
	<Relationship Id="rId27" Type="http://schemas.openxmlformats.org/officeDocument/2006/relationships/hyperlink" Target="consultantplus://offline/ref=7F14BE66E19D5EC70E180B6359E5FF7FFD76DFBC20E4C0A88C6BCD8A426F8FD262D679F18A788003F330AE606C92D7F19EA9894C0638A4F0cBi5N" TargetMode = "External"/>
	<Relationship Id="rId28" Type="http://schemas.openxmlformats.org/officeDocument/2006/relationships/hyperlink" Target="consultantplus://offline/ref=7F14BE66E19D5EC70E180B6359E5FF7FFD76DFBC20E4C0A88C6BCD8A426F8FD262D679F18A788003F030AE606C92D7F19EA9894C0638A4F0cBi5N" TargetMode = "External"/>
	<Relationship Id="rId29" Type="http://schemas.openxmlformats.org/officeDocument/2006/relationships/hyperlink" Target="consultantplus://offline/ref=7F14BE66E19D5EC70E180B6359E5FF7FFB7EDDBC25E7C0A88C6BCD8A426F8FD262D679F18A788001F030AE606C92D7F19EA9894C0638A4F0cBi5N" TargetMode = "External"/>
	<Relationship Id="rId30" Type="http://schemas.openxmlformats.org/officeDocument/2006/relationships/hyperlink" Target="consultantplus://offline/ref=7F14BE66E19D5EC70E180B6359E5FF7FFA75DDB22DE1C0A88C6BCD8A426F8FD262D679F18A788101F630AE606C92D7F19EA9894C0638A4F0cBi5N" TargetMode = "External"/>
	<Relationship Id="rId31" Type="http://schemas.openxmlformats.org/officeDocument/2006/relationships/hyperlink" Target="consultantplus://offline/ref=7F14BE66E19D5EC70E180B6359E5FF7FFD75DCB526E2C0A88C6BCD8A426F8FD262D679F28373D451B66EF73229D9DBF281B5884Ec1iAN" TargetMode = "External"/>
	<Relationship Id="rId32" Type="http://schemas.openxmlformats.org/officeDocument/2006/relationships/hyperlink" Target="consultantplus://offline/ref=7F14BE66E19D5EC70E180B6359E5FF7FFD75DCB526E2C0A88C6BCD8A426F8FD262D679F38373D451B66EF73229D9DBF281B5884Ec1iAN" TargetMode = "External"/>
	<Relationship Id="rId33" Type="http://schemas.openxmlformats.org/officeDocument/2006/relationships/image" Target="media/image2.wmf"/>
	<Relationship Id="rId34" Type="http://schemas.openxmlformats.org/officeDocument/2006/relationships/image" Target="media/image3.wmf"/>
	<Relationship Id="rId35" Type="http://schemas.openxmlformats.org/officeDocument/2006/relationships/hyperlink" Target="consultantplus://offline/ref=7F14BE66E19D5EC70E180B6359E5FF7FFD76DFBC20E4C0A88C6BCD8A426F8FD262D679F18A788003F530AE606C92D7F19EA9894C0638A4F0cBi5N" TargetMode = "External"/>
	<Relationship Id="rId36" Type="http://schemas.openxmlformats.org/officeDocument/2006/relationships/hyperlink" Target="consultantplus://offline/ref=7F14BE66E19D5EC70E180B6359E5FF7FFD76DFBC20E4C0A88C6BCD8A426F8FD262D679F18A788001F130AE606C92D7F19EA9894C0638A4F0cBi5N" TargetMode = "External"/>
	<Relationship Id="rId37" Type="http://schemas.openxmlformats.org/officeDocument/2006/relationships/hyperlink" Target="consultantplus://offline/ref=7F14BE66E19D5EC70E180B6359E5FF7FFD75DBBD23E4C0A88C6BCD8A426F8FD262D679F18A788201FB30AE606C92D7F19EA9894C0638A4F0cBi5N" TargetMode = "External"/>
	<Relationship Id="rId38" Type="http://schemas.openxmlformats.org/officeDocument/2006/relationships/hyperlink" Target="consultantplus://offline/ref=7F14BE66E19D5EC70E180B6359E5FF7FFD76DFBC20E4C0A88C6BCD8A426F8FD262D679F18A788003FB30AE606C92D7F19EA9894C0638A4F0cBi5N" TargetMode = "External"/>
	<Relationship Id="rId39" Type="http://schemas.openxmlformats.org/officeDocument/2006/relationships/hyperlink" Target="consultantplus://offline/ref=7F14BE66E19D5EC70E180B6359E5FF7FFD76DFBC20E4C0A88C6BCD8A426F8FD262D679F18A788004FB30AE606C92D7F19EA9894C0638A4F0cBi5N" TargetMode = "External"/>
	<Relationship Id="rId40" Type="http://schemas.openxmlformats.org/officeDocument/2006/relationships/hyperlink" Target="consultantplus://offline/ref=7F14BE66E19D5EC70E180B6359E5FF7FFA75DDB22DE1C0A88C6BCD8A426F8FD262D679F18A788101F630AE606C92D7F19EA9894C0638A4F0cBi5N" TargetMode = "External"/>
	<Relationship Id="rId41" Type="http://schemas.openxmlformats.org/officeDocument/2006/relationships/hyperlink" Target="consultantplus://offline/ref=7F14BE66E19D5EC70E180B6359E5FF7FFB7EDDBC25E7C0A88C6BCD8A426F8FD270D621FD89799E01F225F8312AcCi5N" TargetMode = "External"/>
	<Relationship Id="rId42" Type="http://schemas.openxmlformats.org/officeDocument/2006/relationships/hyperlink" Target="consultantplus://offline/ref=7F14BE66E19D5EC70E180B6359E5FF7FFD75DBBD23E4C0A88C6BCD8A426F8FD270D621FD89799E01F225F8312AcCi5N" TargetMode = "External"/>
	<Relationship Id="rId43" Type="http://schemas.openxmlformats.org/officeDocument/2006/relationships/hyperlink" Target="consultantplus://offline/ref=7F14BE66E19D5EC70E180B6359E5FF7FFD75DBBD23E4C0A88C6BCD8A426F8FD270D621FD89799E01F225F8312AcCi5N" TargetMode = "External"/>
	<Relationship Id="rId44" Type="http://schemas.openxmlformats.org/officeDocument/2006/relationships/hyperlink" Target="consultantplus://offline/ref=7F14BE66E19D5EC70E180B6359E5FF7FFD76DFBC20E4C0A88C6BCD8A426F8FD262D679F18A788005F330AE606C92D7F19EA9894C0638A4F0cBi5N" TargetMode = "External"/>
	<Relationship Id="rId45" Type="http://schemas.openxmlformats.org/officeDocument/2006/relationships/hyperlink" Target="consultantplus://offline/ref=7F14BE66E19D5EC70E180B6359E5FF7FFD76DFBC20E4C0A88C6BCD8A426F8FD262D679F18A788005F330AE606C92D7F19EA9894C0638A4F0cBi5N" TargetMode = "External"/>
	<Relationship Id="rId46" Type="http://schemas.openxmlformats.org/officeDocument/2006/relationships/hyperlink" Target="consultantplus://offline/ref=7F14BE66E19D5EC70E180B6359E5FF7FFD76DFBC20E4C0A88C6BCD8A426F8FD262D679F18A788005F130AE606C92D7F19EA9894C0638A4F0cBi5N" TargetMode = "External"/>
	<Relationship Id="rId47" Type="http://schemas.openxmlformats.org/officeDocument/2006/relationships/hyperlink" Target="consultantplus://offline/ref=7F14BE66E19D5EC70E180B6359E5FF7FFD76DFBC20E4C0A88C6BCD8A426F8FD262D679F18A788005F330AE606C92D7F19EA9894C0638A4F0cBi5N" TargetMode = "External"/>
	<Relationship Id="rId48" Type="http://schemas.openxmlformats.org/officeDocument/2006/relationships/hyperlink" Target="consultantplus://offline/ref=7F14BE66E19D5EC70E180B6359E5FF7FFD76DFBC20E4C0A88C6BCD8A426F8FD262D679F18A788005FA30AE606C92D7F19EA9894C0638A4F0cBi5N" TargetMode = "External"/>
	<Relationship Id="rId49" Type="http://schemas.openxmlformats.org/officeDocument/2006/relationships/hyperlink" Target="consultantplus://offline/ref=7F14BE66E19D5EC70E180B6359E5FF7FFD76DFBC20E4C0A88C6BCD8A426F8FD262D679F18A788006F030AE606C92D7F19EA9894C0638A4F0cBi5N" TargetMode = "External"/>
	<Relationship Id="rId50" Type="http://schemas.openxmlformats.org/officeDocument/2006/relationships/hyperlink" Target="consultantplus://offline/ref=7F14BE66E19D5EC70E180B6359E5FF7FFD75DBBD23E4C0A88C6BCD8A426F8FD270D621FD89799E01F225F8312AcCi5N" TargetMode = "External"/>
	<Relationship Id="rId51" Type="http://schemas.openxmlformats.org/officeDocument/2006/relationships/hyperlink" Target="consultantplus://offline/ref=7F14BE66E19D5EC70E180B6359E5FF7FFD75DBBD23E4C0A88C6BCD8A426F8FD270D621FD89799E01F225F8312AcCi5N" TargetMode = "External"/>
	<Relationship Id="rId52" Type="http://schemas.openxmlformats.org/officeDocument/2006/relationships/hyperlink" Target="consultantplus://offline/ref=7F14BE66E19D5EC70E180B6359E5FF7FFD76DFBC20E4C0A88C6BCD8A426F8FD262D679F18A788006FB30AE606C92D7F19EA9894C0638A4F0cBi5N" TargetMode = "External"/>
	<Relationship Id="rId53" Type="http://schemas.openxmlformats.org/officeDocument/2006/relationships/hyperlink" Target="consultantplus://offline/ref=7F14BE66E19D5EC70E180B6359E5FF7FFD76DFBC20E4C0A88C6BCD8A426F8FD262D679F18A788007F030AE606C92D7F19EA9894C0638A4F0cBi5N" TargetMode = "External"/>
	<Relationship Id="rId54" Type="http://schemas.openxmlformats.org/officeDocument/2006/relationships/hyperlink" Target="consultantplus://offline/ref=7F14BE66E19D5EC70E180B6359E5FF7FFD76DFBC20E4C0A88C6BCD8A426F8FD262D679F18A788008F130AE606C92D7F19EA9894C0638A4F0cBi5N" TargetMode = "External"/>
	<Relationship Id="rId55" Type="http://schemas.openxmlformats.org/officeDocument/2006/relationships/hyperlink" Target="consultantplus://offline/ref=7F14BE66E19D5EC70E180B6359E5FF7FFD75DBBD23E4C0A88C6BCD8A426F8FD270D621FD89799E01F225F8312AcCi5N" TargetMode = "External"/>
	<Relationship Id="rId56" Type="http://schemas.openxmlformats.org/officeDocument/2006/relationships/hyperlink" Target="consultantplus://offline/ref=7F14BE66E19D5EC70E180B6359E5FF7FFD75DBBD23E4C0A88C6BCD8A426F8FD270D621FD89799E01F225F8312AcCi5N" TargetMode = "External"/>
	<Relationship Id="rId57" Type="http://schemas.openxmlformats.org/officeDocument/2006/relationships/hyperlink" Target="consultantplus://offline/ref=7F14BE66E19D5EC70E180B6359E5FF7FFD76DFBC20E4C0A88C6BCD8A426F8FD262D679F18A788008F730AE606C92D7F19EA9894C0638A4F0cBi5N" TargetMode = "External"/>
	<Relationship Id="rId58" Type="http://schemas.openxmlformats.org/officeDocument/2006/relationships/hyperlink" Target="consultantplus://offline/ref=7F14BE66E19D5EC70E180B6359E5FF7FFD76DFBC20E4C0A88C6BCD8A426F8FD262D679F18A788008F730AE606C92D7F19EA9894C0638A4F0cBi5N" TargetMode = "External"/>
	<Relationship Id="rId59" Type="http://schemas.openxmlformats.org/officeDocument/2006/relationships/hyperlink" Target="consultantplus://offline/ref=7F14BE66E19D5EC70E180B6359E5FF7FFD76DFBC20E4C0A88C6BCD8A426F8FD262D679F18A788008FB30AE606C92D7F19EA9894C0638A4F0cBi5N" TargetMode = "External"/>
	<Relationship Id="rId60" Type="http://schemas.openxmlformats.org/officeDocument/2006/relationships/hyperlink" Target="consultantplus://offline/ref=7F14BE66E19D5EC70E180B6359E5FF7FFD76DFBC20E4C0A88C6BCD8A426F8FD262D679F18A788009F230AE606C92D7F19EA9894C0638A4F0cBi5N" TargetMode = "External"/>
	<Relationship Id="rId61" Type="http://schemas.openxmlformats.org/officeDocument/2006/relationships/hyperlink" Target="consultantplus://offline/ref=7F14BE66E19D5EC70E180B6359E5FF7FFA75DDB22DE1C0A88C6BCD8A426F8FD262D679F18A788101F630AE606C92D7F19EA9894C0638A4F0cBi5N" TargetMode = "External"/>
	<Relationship Id="rId62" Type="http://schemas.openxmlformats.org/officeDocument/2006/relationships/hyperlink" Target="consultantplus://offline/ref=7F14BE66E19D5EC70E180B6359E5FF7FFD76DFBC20E4C0A88C6BCD8A426F8FD262D679F18A788009F330AE606C92D7F19EA9894C0638A4F0cBi5N" TargetMode = "External"/>
	<Relationship Id="rId63" Type="http://schemas.openxmlformats.org/officeDocument/2006/relationships/hyperlink" Target="consultantplus://offline/ref=7F14BE66E19D5EC70E180B6359E5FF7FFD76DFBC20E4C0A88C6BCD8A426F8FD262D679F18A788009F030AE606C92D7F19EA9894C0638A4F0cBi5N" TargetMode = "External"/>
	<Relationship Id="rId64" Type="http://schemas.openxmlformats.org/officeDocument/2006/relationships/hyperlink" Target="consultantplus://offline/ref=7F14BE66E19D5EC70E180B6359E5FF7FFD76DFBC20E4C0A88C6BCD8A426F8FD262D679F18A788009F530AE606C92D7F19EA9894C0638A4F0cBi5N" TargetMode = "External"/>
	<Relationship Id="rId65" Type="http://schemas.openxmlformats.org/officeDocument/2006/relationships/hyperlink" Target="consultantplus://offline/ref=7F14BE66E19D5EC70E180B6359E5FF7FFD76DFBC20E4C0A88C6BCD8A426F8FD262D679F18A788100FB30AE606C92D7F19EA9894C0638A4F0cBi5N" TargetMode = "External"/>
	<Relationship Id="rId66" Type="http://schemas.openxmlformats.org/officeDocument/2006/relationships/hyperlink" Target="consultantplus://offline/ref=7F14BE66E19D5EC70E180B6359E5FF7FFD75DBBD23E4C0A88C6BCD8A426F8FD270D621FD89799E01F225F8312AcCi5N" TargetMode = "External"/>
	<Relationship Id="rId67" Type="http://schemas.openxmlformats.org/officeDocument/2006/relationships/hyperlink" Target="consultantplus://offline/ref=7F14BE66E19D5EC70E180B6359E5FF7FFD75DBBD23E4C0A88C6BCD8A426F8FD270D621FD89799E01F225F8312AcCi5N" TargetMode = "External"/>
	<Relationship Id="rId68" Type="http://schemas.openxmlformats.org/officeDocument/2006/relationships/hyperlink" Target="consultantplus://offline/ref=7F14BE66E19D5EC70E180B6359E5FF7FFD76DFBC20E4C0A88C6BCD8A426F8FD262D679F18A788102F230AE606C92D7F19EA9894C0638A4F0cBi5N" TargetMode = "External"/>
	<Relationship Id="rId69" Type="http://schemas.openxmlformats.org/officeDocument/2006/relationships/hyperlink" Target="consultantplus://offline/ref=7F14BE66E19D5EC70E180B6359E5FF7FFD76DFBC20E4C0A88C6BCD8A426F8FD262D679F18A788102F030AE606C92D7F19EA9894C0638A4F0cBi5N" TargetMode = "External"/>
	<Relationship Id="rId70" Type="http://schemas.openxmlformats.org/officeDocument/2006/relationships/hyperlink" Target="consultantplus://offline/ref=7F14BE66E19D5EC70E180B6359E5FF7FFD76DFBC20E4C0A88C6BCD8A426F8FD262D679F18A788102F530AE606C92D7F19EA9894C0638A4F0cBi5N" TargetMode = "External"/>
	<Relationship Id="rId71" Type="http://schemas.openxmlformats.org/officeDocument/2006/relationships/hyperlink" Target="consultantplus://offline/ref=7F14BE66E19D5EC70E180B6359E5FF7FFA75DDB22DE1C0A88C6BCD8A426F8FD262D679F18A788101F130AE606C92D7F19EA9894C0638A4F0cBi5N" TargetMode = "External"/>
	<Relationship Id="rId72" Type="http://schemas.openxmlformats.org/officeDocument/2006/relationships/hyperlink" Target="consultantplus://offline/ref=7F14BE66E19D5EC70E180B6359E5FF7FFD76DFBC20E4C0A88C6BCD8A426F8FD262D679F18A788102FA30AE606C92D7F19EA9894C0638A4F0cBi5N" TargetMode = "External"/>
	<Relationship Id="rId73" Type="http://schemas.openxmlformats.org/officeDocument/2006/relationships/hyperlink" Target="consultantplus://offline/ref=7F14BE66E19D5EC70E180B6359E5FF7FFD76DFBC20E4C0A88C6BCD8A426F8FD262D679F18A788103F230AE606C92D7F19EA9894C0638A4F0cBi5N" TargetMode = "External"/>
	<Relationship Id="rId74" Type="http://schemas.openxmlformats.org/officeDocument/2006/relationships/hyperlink" Target="consultantplus://offline/ref=7F14BE66E19D5EC70E180B6359E5FF7FFD76DFBC20E4C0A88C6BCD8A426F8FD262D679F18A788103F130AE606C92D7F19EA9894C0638A4F0cBi5N" TargetMode = "External"/>
	<Relationship Id="rId75" Type="http://schemas.openxmlformats.org/officeDocument/2006/relationships/hyperlink" Target="consultantplus://offline/ref=7F14BE66E19D5EC70E180B6359E5FF7FFD75D2BC21E7C0A88C6BCD8A426F8FD270D621FD89799E01F225F8312AcCi5N" TargetMode = "External"/>
	<Relationship Id="rId76" Type="http://schemas.openxmlformats.org/officeDocument/2006/relationships/hyperlink" Target="consultantplus://offline/ref=7F14BE66E19D5EC70E180B6359E5FF7FFD76DFBC20E4C0A88C6BCD8A426F8FD262D679F18A788103FA30AE606C92D7F19EA9894C0638A4F0cBi5N" TargetMode = "External"/>
	<Relationship Id="rId77" Type="http://schemas.openxmlformats.org/officeDocument/2006/relationships/hyperlink" Target="consultantplus://offline/ref=7F14BE66E19D5EC70E180B6359E5FF7FFD76DFBC20E4C0A88C6BCD8A426F8FD262D679F18A788103FB30AE606C92D7F19EA9894C0638A4F0cBi5N" TargetMode = "External"/>
	<Relationship Id="rId78" Type="http://schemas.openxmlformats.org/officeDocument/2006/relationships/hyperlink" Target="consultantplus://offline/ref=7F14BE66E19D5EC70E180B6359E5FF7FFD76DFBC20E4C0A88C6BCD8A426F8FD262D679F18A788104F230AE606C92D7F19EA9894C0638A4F0cBi5N" TargetMode = "External"/>
	<Relationship Id="rId79" Type="http://schemas.openxmlformats.org/officeDocument/2006/relationships/hyperlink" Target="consultantplus://offline/ref=7F14BE66E19D5EC70E180B6359E5FF7FFD76DFBC20E4C0A88C6BCD8A426F8FD262D679F18A788105F030AE606C92D7F19EA9894C0638A4F0cBi5N" TargetMode = "External"/>
	<Relationship Id="rId80" Type="http://schemas.openxmlformats.org/officeDocument/2006/relationships/hyperlink" Target="consultantplus://offline/ref=7F14BE66E19D5EC70E180B6359E5FF7FFD76DFBC20E4C0A88C6BCD8A426F8FD262D679F18A788105F030AE606C92D7F19EA9894C0638A4F0cBi5N" TargetMode = "External"/>
	<Relationship Id="rId81" Type="http://schemas.openxmlformats.org/officeDocument/2006/relationships/hyperlink" Target="consultantplus://offline/ref=7F14BE66E19D5EC70E180B6359E5FF7FFD76DFBC20E4C0A88C6BCD8A426F8FD262D679F18A788105F030AE606C92D7F19EA9894C0638A4F0cBi5N" TargetMode = "External"/>
	<Relationship Id="rId82" Type="http://schemas.openxmlformats.org/officeDocument/2006/relationships/hyperlink" Target="consultantplus://offline/ref=7F14BE66E19D5EC70E180B6359E5FF7FFD76DFBC20E4C0A88C6BCD8A426F8FD262D679F18A788105F130AE606C92D7F19EA9894C0638A4F0cBi5N" TargetMode = "External"/>
	<Relationship Id="rId83" Type="http://schemas.openxmlformats.org/officeDocument/2006/relationships/hyperlink" Target="consultantplus://offline/ref=7F14BE66E19D5EC70E180B6359E5FF7FFD76DFBC20E4C0A88C6BCD8A426F8FD262D679F18A788105F630AE606C92D7F19EA9894C0638A4F0cBi5N" TargetMode = "External"/>
	<Relationship Id="rId84" Type="http://schemas.openxmlformats.org/officeDocument/2006/relationships/hyperlink" Target="consultantplus://offline/ref=7F14BE66E19D5EC70E180B6359E5FF7FFD76DFBC20E4C0A88C6BCD8A426F8FD262D679F18A788105F430AE606C92D7F19EA9894C0638A4F0cBi5N" TargetMode = "External"/>
	<Relationship Id="rId85" Type="http://schemas.openxmlformats.org/officeDocument/2006/relationships/hyperlink" Target="consultantplus://offline/ref=7F14BE66E19D5EC70E180B6359E5FF7FFD76DFBC20E4C0A88C6BCD8A426F8FD262D679F18A788207F130AE606C92D7F19EA9894C0638A4F0cBi5N" TargetMode = "External"/>
	<Relationship Id="rId86" Type="http://schemas.openxmlformats.org/officeDocument/2006/relationships/hyperlink" Target="consultantplus://offline/ref=7F14BE66E19D5EC70E180B6359E5FF7FFD76DFBC20E4C0A88C6BCD8A426F8FD262D679F18A788207F130AE606C92D7F19EA9894C0638A4F0cBi5N" TargetMode = "External"/>
	<Relationship Id="rId87" Type="http://schemas.openxmlformats.org/officeDocument/2006/relationships/hyperlink" Target="consultantplus://offline/ref=7F14BE66E19D5EC70E180B6359E5FF7FFD76DFBC20E4C0A88C6BCD8A426F8FD262D679F18A788207F630AE606C92D7F19EA9894C0638A4F0cBi5N" TargetMode = "External"/>
	<Relationship Id="rId88" Type="http://schemas.openxmlformats.org/officeDocument/2006/relationships/hyperlink" Target="consultantplus://offline/ref=7F14BE66E19D5EC70E180B6359E5FF7FFD76DFBC20E4C0A88C6BCD8A426F8FD262D679F18A788209F230AE606C92D7F19EA9894C0638A4F0cBi5N" TargetMode = "External"/>
	<Relationship Id="rId89" Type="http://schemas.openxmlformats.org/officeDocument/2006/relationships/hyperlink" Target="consultantplus://offline/ref=7F14BE66E19D5EC70E180B6359E5FF7FFD76DFBC20E4C0A88C6BCD8A426F8FD262D679F18A788301F430AE606C92D7F19EA9894C0638A4F0cBi5N" TargetMode = "External"/>
	<Relationship Id="rId90" Type="http://schemas.openxmlformats.org/officeDocument/2006/relationships/hyperlink" Target="consultantplus://offline/ref=7F14BE66E19D5EC70E180B6359E5FF7FFD76DFBC20E4C0A88C6BCD8A426F8FD262D679F18A788301FA30AE606C92D7F19EA9894C0638A4F0cBi5N" TargetMode = "External"/>
	<Relationship Id="rId91" Type="http://schemas.openxmlformats.org/officeDocument/2006/relationships/hyperlink" Target="consultantplus://offline/ref=7F14BE66E19D5EC70E180B6359E5FF7FFD75DBBD23E4C0A88C6BCD8A426F8FD270D621FD89799E01F225F8312AcCi5N" TargetMode = "External"/>
	<Relationship Id="rId92" Type="http://schemas.openxmlformats.org/officeDocument/2006/relationships/hyperlink" Target="consultantplus://offline/ref=7F14BE66E19D5EC70E180B6359E5FF7FFD76DFBC20E4C0A88C6BCD8A426F8FD262D679F18A788301FB30AE606C92D7F19EA9894C0638A4F0cBi5N" TargetMode = "External"/>
	<Relationship Id="rId93" Type="http://schemas.openxmlformats.org/officeDocument/2006/relationships/hyperlink" Target="consultantplus://offline/ref=7F14BE66E19D5EC70E180B6359E5FF7FFD76DFBC20E4C0A88C6BCD8A426F8FD262D679F18A788301FB30AE606C92D7F19EA9894C0638A4F0cBi5N" TargetMode = "External"/>
	<Relationship Id="rId94" Type="http://schemas.openxmlformats.org/officeDocument/2006/relationships/hyperlink" Target="consultantplus://offline/ref=7F14BE66E19D5EC70E180B6359E5FF7FFD76DFBC20E4C0A88C6BCD8A426F8FD262D679F18A788301FB30AE606C92D7F19EA9894C0638A4F0cBi5N" TargetMode = "External"/>
	<Relationship Id="rId95" Type="http://schemas.openxmlformats.org/officeDocument/2006/relationships/hyperlink" Target="consultantplus://offline/ref=7F14BE66E19D5EC70E180B6359E5FF7FFD76DFBC20E4C0A88C6BCD8A426F8FD262D679F18A788302F030AE606C92D7F19EA9894C0638A4F0cBi5N" TargetMode = "External"/>
	<Relationship Id="rId96" Type="http://schemas.openxmlformats.org/officeDocument/2006/relationships/hyperlink" Target="consultantplus://offline/ref=7F14BE66E19D5EC70E180B6359E5FF7FFD76DFBC20E4C0A88C6BCD8A426F8FD262D679F18A788302F130AE606C92D7F19EA9894C0638A4F0cBi5N" TargetMode = "External"/>
	<Relationship Id="rId97" Type="http://schemas.openxmlformats.org/officeDocument/2006/relationships/hyperlink" Target="consultantplus://offline/ref=7F14BE66E19D5EC70E180B6359E5FF7FFD76DFBC20E4C0A88C6BCD8A426F8FD262D679F1812CD144A736F93036C6DAEC9DB78Ac4iEN" TargetMode = "External"/>
	<Relationship Id="rId98" Type="http://schemas.openxmlformats.org/officeDocument/2006/relationships/hyperlink" Target="consultantplus://offline/ref=7F14BE66E19D5EC70E180B6359E5FF7FFD75DBBD23E4C0A88C6BCD8A426F8FD270D621FD89799E01F225F8312AcCi5N" TargetMode = "External"/>
	<Relationship Id="rId99" Type="http://schemas.openxmlformats.org/officeDocument/2006/relationships/hyperlink" Target="consultantplus://offline/ref=7F14BE66E19D5EC70E180B6359E5FF7FFD76DFBC20E4C0A88C6BCD8A426F8FD262D679F18A788302F730AE606C92D7F19EA9894C0638A4F0cBi5N" TargetMode = "External"/>
	<Relationship Id="rId100" Type="http://schemas.openxmlformats.org/officeDocument/2006/relationships/hyperlink" Target="consultantplus://offline/ref=7F14BE66E19D5EC70E180B6359E5FF7FFD76DFBC20E4C0A88C6BCD8A426F8FD262D679F18A788301F430AE606C92D7F19EA9894C0638A4F0cBi5N" TargetMode = "External"/>
	<Relationship Id="rId101" Type="http://schemas.openxmlformats.org/officeDocument/2006/relationships/hyperlink" Target="consultantplus://offline/ref=7F14BE66E19D5EC70E180B6359E5FF7FFD76DFBC20E4C0A88C6BCD8A426F8FD262D679F18A788302F430AE606C92D7F19EA9894C0638A4F0cBi5N" TargetMode = "External"/>
	<Relationship Id="rId102" Type="http://schemas.openxmlformats.org/officeDocument/2006/relationships/hyperlink" Target="consultantplus://offline/ref=7F14BE66E19D5EC70E180B6359E5FF7FFA75DDB22DE1C0A88C6BCD8A426F8FD262D679F18A788101F130AE606C92D7F19EA9894C0638A4F0cBi5N" TargetMode = "External"/>
	<Relationship Id="rId103" Type="http://schemas.openxmlformats.org/officeDocument/2006/relationships/hyperlink" Target="consultantplus://offline/ref=7F14BE66E19D5EC70E180B6359E5FF7FFD77DDB724E9C0A88C6BCD8A426F8FD262D679F38A7D840BA66ABE6425C4DBEC9EB7964E1838cAi6N" TargetMode = "External"/>
	<Relationship Id="rId104" Type="http://schemas.openxmlformats.org/officeDocument/2006/relationships/hyperlink" Target="consultantplus://offline/ref=7F14BE66E19D5EC70E180B6359E5FF7FFD76DEBD21E3C0A88C6BCD8A426F8FD262D679F28D73D451B66EF73229D9DBF281B5884Ec1iAN" TargetMode = "External"/>
	<Relationship Id="rId105" Type="http://schemas.openxmlformats.org/officeDocument/2006/relationships/hyperlink" Target="consultantplus://offline/ref=7F14BE66E19D5EC70E180B6359E5FF7FFD76DFBC20E4C0A88C6BCD8A426F8FD262D679F18A788301F430AE606C92D7F19EA9894C0638A4F0cBi5N" TargetMode = "External"/>
	<Relationship Id="rId106" Type="http://schemas.openxmlformats.org/officeDocument/2006/relationships/hyperlink" Target="consultantplus://offline/ref=7F14BE66E19D5EC70E180B6359E5FF7FFD76DFB025E1C0A88C6BCD8A426F8FD262D679F58A7E8B54A37FAF3C2BC6C4F39FA98A4C1Ac3i8N" TargetMode = "External"/>
	<Relationship Id="rId107" Type="http://schemas.openxmlformats.org/officeDocument/2006/relationships/hyperlink" Target="consultantplus://offline/ref=7F14BE66E19D5EC70E180B6359E5FF7FFD76DEBD21E3C0A88C6BCD8A426F8FD262D679F28D73D451B66EF73229D9DBF281B5884Ec1iAN" TargetMode = "External"/>
	<Relationship Id="rId108" Type="http://schemas.openxmlformats.org/officeDocument/2006/relationships/hyperlink" Target="consultantplus://offline/ref=7F14BE66E19D5EC70E180B6359E5FF7FFD76DFBC20E4C0A88C6BCD8A426F8FD262D679F18A788303F530AE606C92D7F19EA9894C0638A4F0cBi5N" TargetMode = "External"/>
	<Relationship Id="rId109" Type="http://schemas.openxmlformats.org/officeDocument/2006/relationships/hyperlink" Target="consultantplus://offline/ref=7F14BE66E19D5EC70E180B6359E5FF7FFD76DFBC20E4C0A88C6BCD8A426F8FD262D679F18A788303FA30AE606C92D7F19EA9894C0638A4F0cBi5N" TargetMode = "External"/>
	<Relationship Id="rId110" Type="http://schemas.openxmlformats.org/officeDocument/2006/relationships/hyperlink" Target="consultantplus://offline/ref=7F14BE66E19D5EC70E180B6359E5FF7FFD75DBBD23E4C0A88C6BCD8A426F8FD262D679F2837F890BA66ABE6425C4DBEC9EB7964E1838cAi6N" TargetMode = "External"/>
	<Relationship Id="rId111" Type="http://schemas.openxmlformats.org/officeDocument/2006/relationships/hyperlink" Target="consultantplus://offline/ref=7F14BE66E19D5EC70E180B6359E5FF7FFD76DFBC20E4C0A88C6BCD8A426F8FD262D679F18B7B8B54A37FAF3C2BC6C4F39FA98A4C1Ac3i8N" TargetMode = "External"/>
	<Relationship Id="rId112" Type="http://schemas.openxmlformats.org/officeDocument/2006/relationships/hyperlink" Target="consultantplus://offline/ref=7F14BE66E19D5EC70E180B6359E5FF7FFD75DBBD23E4C0A88C6BCD8A426F8FD262D679F28370810BA66ABE6425C4DBEC9EB7964E1838cAi6N" TargetMode = "External"/>
	<Relationship Id="rId113" Type="http://schemas.openxmlformats.org/officeDocument/2006/relationships/hyperlink" Target="consultantplus://offline/ref=7F14BE66E19D5EC70E180B6359E5FF7FFD75D9B02DE8C0A88C6BCD8A426F8FD262D679F18A788000F430AE606C92D7F19EA9894C0638A4F0cBi5N" TargetMode = "External"/>
	<Relationship Id="rId114" Type="http://schemas.openxmlformats.org/officeDocument/2006/relationships/hyperlink" Target="consultantplus://offline/ref=7F14BE66E19D5EC70E180B6359E5FF7FFD76DFBC20E4C0A88C6BCD8A426F8FD262D679F18B7D8B54A37FAF3C2BC6C4F39FA98A4C1Ac3i8N" TargetMode = "External"/>
	<Relationship Id="rId115" Type="http://schemas.openxmlformats.org/officeDocument/2006/relationships/hyperlink" Target="consultantplus://offline/ref=7F14BE66E19D5EC70E180B6359E5FF7FFD76DFBC20E4C0A88C6BCD8A426F8FD262D679F18B7D8B54A37FAF3C2BC6C4F39FA98A4C1Ac3i8N" TargetMode = "External"/>
	<Relationship Id="rId116" Type="http://schemas.openxmlformats.org/officeDocument/2006/relationships/hyperlink" Target="consultantplus://offline/ref=7F14BE66E19D5EC70E180B6359E5FF7FFD76DFBC20E4C0A88C6BCD8A426F8FD262D679F18B7E8B54A37FAF3C2BC6C4F39FA98A4C1Ac3i8N" TargetMode = "External"/>
	<Relationship Id="rId117" Type="http://schemas.openxmlformats.org/officeDocument/2006/relationships/hyperlink" Target="consultantplus://offline/ref=7F14BE66E19D5EC70E180B6359E5FF7FFD76DFBC20E4C0A88C6BCD8A426F8FD262D679F18B7F8B54A37FAF3C2BC6C4F39FA98A4C1Ac3i8N" TargetMode = "External"/>
	<Relationship Id="rId118" Type="http://schemas.openxmlformats.org/officeDocument/2006/relationships/hyperlink" Target="consultantplus://offline/ref=7F14BE66E19D5EC70E180B6359E5FF7FFD76DFBC20E4C0A88C6BCD8A426F8FD262D679F18B708B54A37FAF3C2BC6C4F39FA98A4C1Ac3i8N" TargetMode = "External"/>
	<Relationship Id="rId119" Type="http://schemas.openxmlformats.org/officeDocument/2006/relationships/hyperlink" Target="consultantplus://offline/ref=7F14BE66E19D5EC70E180B6359E5FF7FFD76DFBC20E4C0A88C6BCD8A426F8FD262D679F18B718B54A37FAF3C2BC6C4F39FA98A4C1Ac3i8N" TargetMode = "External"/>
	<Relationship Id="rId120" Type="http://schemas.openxmlformats.org/officeDocument/2006/relationships/hyperlink" Target="consultantplus://offline/ref=7F14BE66E19D5EC70E180B6359E5FF7FFD76DFBC20E4C0A88C6BCD8A426F8FD262D679F188788B54A37FAF3C2BC6C4F39FA98A4C1Ac3i8N" TargetMode = "External"/>
	<Relationship Id="rId121" Type="http://schemas.openxmlformats.org/officeDocument/2006/relationships/hyperlink" Target="consultantplus://offline/ref=7F14BE66E19D5EC70E180B6359E5FF7FFD76DFBC20E4C0A88C6BCD8A426F8FD262D679F38B73D451B66EF73229D9DBF281B5884Ec1iAN" TargetMode = "External"/>
	<Relationship Id="rId122" Type="http://schemas.openxmlformats.org/officeDocument/2006/relationships/hyperlink" Target="consultantplus://offline/ref=7F14BE66E19D5EC70E180B6359E5FF7FFD76DFBC20E4C0A88C6BCD8A426F8FD262D679F38873D451B66EF73229D9DBF281B5884Ec1iAN" TargetMode = "External"/>
	<Relationship Id="rId123" Type="http://schemas.openxmlformats.org/officeDocument/2006/relationships/hyperlink" Target="consultantplus://offline/ref=7F14BE66E19D5EC70E180B6359E5FF7FFB7EDDBC25E7C0A88C6BCD8A426F8FD270D621FD89799E01F225F8312AcCi5N" TargetMode = "External"/>
	<Relationship Id="rId124" Type="http://schemas.openxmlformats.org/officeDocument/2006/relationships/hyperlink" Target="consultantplus://offline/ref=7F14BE66E19D5EC70E180B6359E5FF7FFA75DDB22DE1C0A88C6BCD8A426F8FD262D679F18A788101F630AE606C92D7F19EA9894C0638A4F0cBi5N" TargetMode = "External"/>
	<Relationship Id="rId125" Type="http://schemas.openxmlformats.org/officeDocument/2006/relationships/hyperlink" Target="consultantplus://offline/ref=7F14BE66E19D5EC70E180B6359E5FF7FFA7ED8B222E6C0A88C6BCD8A426F8FD262D679F18A788001F430AE606C92D7F19EA9894C0638A4F0cBi5N" TargetMode = "External"/>
	<Relationship Id="rId126" Type="http://schemas.openxmlformats.org/officeDocument/2006/relationships/hyperlink" Target="consultantplus://offline/ref=7F14BE66E19D5EC70E180B6359E5FF7FFD76DFBC20E4C0A88C6BCD8A426F8FD262D679F1897A8B54A37FAF3C2BC6C4F39FA98A4C1Ac3i8N" TargetMode = "External"/>
	<Relationship Id="rId127" Type="http://schemas.openxmlformats.org/officeDocument/2006/relationships/hyperlink" Target="consultantplus://offline/ref=7F14BE66E19D5EC70E180B6359E5FF7FFA75DFB725E9C0A88C6BCD8A426F8FD270D621FD89799E01F225F8312AcCi5N" TargetMode = "External"/>
	<Relationship Id="rId128" Type="http://schemas.openxmlformats.org/officeDocument/2006/relationships/hyperlink" Target="consultantplus://offline/ref=7F14BE66E19D5EC70E180B6359E5FF7FFD76DFBC20E4C0A88C6BCD8A426F8FD262D679F48373D451B66EF73229D9DBF281B5884Ec1iAN" TargetMode = "External"/>
	<Relationship Id="rId129" Type="http://schemas.openxmlformats.org/officeDocument/2006/relationships/hyperlink" Target="consultantplus://offline/ref=7F14BE66E19D5EC70E180B6359E5FF7FFD76DFBC20E4C0A88C6BCD8A426F8FD262D679F58D73D451B66EF73229D9DBF281B5884Ec1iAN" TargetMode = "External"/>
	<Relationship Id="rId130" Type="http://schemas.openxmlformats.org/officeDocument/2006/relationships/hyperlink" Target="consultantplus://offline/ref=7F14BE66E19D5EC70E180B6359E5FF7FFD77DDB724E9C0A88C6BCD8A426F8FD262D679F38A7D840BA66ABE6425C4DBEC9EB7964E1838cAi6N" TargetMode = "External"/>
	<Relationship Id="rId131" Type="http://schemas.openxmlformats.org/officeDocument/2006/relationships/hyperlink" Target="consultantplus://offline/ref=7F14BE66E19D5EC70E180B6359E5FF7FFD76DFBC20E4C0A88C6BCD8A426F8FD262D679F188718B54A37FAF3C2BC6C4F39FA98A4C1Ac3i8N" TargetMode = "External"/>
	<Relationship Id="rId132" Type="http://schemas.openxmlformats.org/officeDocument/2006/relationships/hyperlink" Target="consultantplus://offline/ref=7F14BE66E19D5EC70E180B6359E5FF7FFD76DFBC20E4C0A88C6BCD8A426F8FD262D679F68F73D451B66EF73229D9DBF281B5884Ec1iAN" TargetMode = "External"/>
	<Relationship Id="rId133" Type="http://schemas.openxmlformats.org/officeDocument/2006/relationships/hyperlink" Target="consultantplus://offline/ref=7F14BE66E19D5EC70E180B6359E5FF7FFD76DFB025E5C0A88C6BCD8A426F8FD262D679F3827E8B54A37FAF3C2BC6C4F39FA98A4C1Ac3i8N" TargetMode = "External"/>
	<Relationship Id="rId134" Type="http://schemas.openxmlformats.org/officeDocument/2006/relationships/hyperlink" Target="consultantplus://offline/ref=7F14BE66E19D5EC70E180B6359E5FF7FFD76DFB025E5C0A88C6BCD8A426F8FD262D679F3827E8B54A37FAF3C2BC6C4F39FA98A4C1Ac3i8N" TargetMode = "External"/>
	<Relationship Id="rId135" Type="http://schemas.openxmlformats.org/officeDocument/2006/relationships/hyperlink" Target="consultantplus://offline/ref=7F14BE66E19D5EC70E180B6359E5FF7FFD76DFB025E5C0A88C6BCD8A426F8FD262D679F3827E8B54A37FAF3C2BC6C4F39FA98A4C1Ac3i8N" TargetMode = "External"/>
	<Relationship Id="rId136" Type="http://schemas.openxmlformats.org/officeDocument/2006/relationships/hyperlink" Target="consultantplus://offline/ref=7F14BE66E19D5EC70E180B6359E5FF7FFD76DFB025E5C0A88C6BCD8A426F8FD262D679F3827E8B54A37FAF3C2BC6C4F39FA98A4C1Ac3i8N" TargetMode = "External"/>
	<Relationship Id="rId137" Type="http://schemas.openxmlformats.org/officeDocument/2006/relationships/hyperlink" Target="consultantplus://offline/ref=7F14BE66E19D5EC70E180B6359E5FF7FFD76DFB025E5C0A88C6BCD8A426F8FD262D679F3827E8B54A37FAF3C2BC6C4F39FA98A4C1Ac3i8N" TargetMode = "External"/>
	<Relationship Id="rId138" Type="http://schemas.openxmlformats.org/officeDocument/2006/relationships/hyperlink" Target="consultantplus://offline/ref=7F14BE66E19D5EC70E180B6359E5FF7FFD76DFBC20E4C0A88C6BCD8A426F8FD262D679F18A788301F430AE606C92D7F19EA9894C0638A4F0cBi5N" TargetMode = "External"/>
	<Relationship Id="rId139" Type="http://schemas.openxmlformats.org/officeDocument/2006/relationships/hyperlink" Target="consultantplus://offline/ref=7F14BE66E19D5EC70E180B6359E5FF7FFD76DFBC20E4C0A88C6BCD8A426F8FD262D679F18A788304F330AE606C92D7F19EA9894C0638A4F0cBi5N" TargetMode = "External"/>
	<Relationship Id="rId140" Type="http://schemas.openxmlformats.org/officeDocument/2006/relationships/hyperlink" Target="consultantplus://offline/ref=7F14BE66E19D5EC70E180B6359E5FF7FFD76DFBC20E4C0A88C6BCD8A426F8FD262D679F18A788307F230AE606C92D7F19EA9894C0638A4F0cBi5N" TargetMode = "External"/>
	<Relationship Id="rId141" Type="http://schemas.openxmlformats.org/officeDocument/2006/relationships/header" Target="header2.xml"/>
	<Relationship Id="rId142" Type="http://schemas.openxmlformats.org/officeDocument/2006/relationships/footer" Target="footer2.xm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4022.00.21</Application>
  <Company>КонсультантПлюс Версия 4022.00.21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Минстроя России от 14.06.2022 N 484/пр
"О внесении изменений в приказ Министерства строительства и жилищно-коммунального хозяйства Российской Федерации от 23 декабря 2019 г. N 841/пр"
(Зарегистрировано в Минюсте России 04.10.2022 N 70372)</dc:title>
  <dcterms:created xsi:type="dcterms:W3CDTF">2022-10-31T13:34:27Z</dcterms:created>
</cp:coreProperties>
</file>